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59EE" w:rsidRDefault="00A959EE" w:rsidP="00A959EE">
      <w:pPr>
        <w:pStyle w:val="1"/>
        <w:wordWrap w:val="0"/>
        <w:topLinePunct/>
        <w:spacing w:before="10" w:after="10" w:line="579" w:lineRule="auto"/>
        <w:jc w:val="center"/>
        <w:rPr>
          <w:sz w:val="36"/>
          <w:szCs w:val="36"/>
        </w:rPr>
      </w:pPr>
      <w:bookmarkStart w:id="0" w:name="_Toc13559"/>
      <w:bookmarkStart w:id="1" w:name="_Toc14837"/>
      <w:bookmarkStart w:id="2" w:name="_Toc8952"/>
      <w:bookmarkStart w:id="3" w:name="_Toc14612"/>
      <w:bookmarkStart w:id="4" w:name="_Toc5996"/>
      <w:bookmarkStart w:id="5" w:name="_Toc11933"/>
      <w:r>
        <w:rPr>
          <w:rFonts w:hint="eastAsia"/>
          <w:sz w:val="36"/>
          <w:szCs w:val="36"/>
        </w:rPr>
        <w:t>福建恒信拍卖行有限公司拍卖规则</w:t>
      </w:r>
      <w:bookmarkEnd w:id="0"/>
      <w:bookmarkEnd w:id="1"/>
      <w:bookmarkEnd w:id="2"/>
      <w:bookmarkEnd w:id="3"/>
      <w:bookmarkEnd w:id="4"/>
      <w:bookmarkEnd w:id="5"/>
    </w:p>
    <w:p w:rsidR="00A959EE" w:rsidRDefault="00A959EE" w:rsidP="00A959EE">
      <w:pPr>
        <w:topLinePunct/>
        <w:spacing w:line="600" w:lineRule="exact"/>
        <w:ind w:leftChars="-200" w:left="-440" w:rightChars="-241" w:right="-530" w:firstLineChars="200" w:firstLine="480"/>
        <w:rPr>
          <w:rFonts w:ascii="宋体" w:hAnsi="宋体" w:hint="eastAsia"/>
          <w:bCs/>
          <w:sz w:val="24"/>
        </w:rPr>
      </w:pPr>
      <w:r>
        <w:rPr>
          <w:rFonts w:ascii="宋体" w:hAnsi="宋体" w:hint="eastAsia"/>
          <w:bCs/>
          <w:sz w:val="24"/>
        </w:rPr>
        <w:t>拍卖人根据</w:t>
      </w:r>
      <w:r>
        <w:rPr>
          <w:rFonts w:ascii="宋体" w:hAnsi="宋体" w:cs="宋体" w:hint="eastAsia"/>
          <w:sz w:val="24"/>
        </w:rPr>
        <w:t>《中华人民共和国土地管理法》、《中华人民共和国城市房地产管理法》、</w:t>
      </w:r>
      <w:r>
        <w:rPr>
          <w:rFonts w:ascii="宋体" w:hAnsi="宋体" w:hint="eastAsia"/>
          <w:bCs/>
          <w:sz w:val="24"/>
        </w:rPr>
        <w:t>《中华人民共和国拍卖法》、国土资源部《招标拍卖挂牌出让国有建设用地使用权规定》、《招标拍卖挂牌出让国有土地使用权规范》等法律、法规的规定，以及福安市人民政府（安政文</w:t>
      </w:r>
      <w:r>
        <w:rPr>
          <w:rFonts w:ascii="宋体" w:hAnsi="宋体" w:hint="eastAsia"/>
          <w:bCs/>
          <w:sz w:val="24"/>
        </w:rPr>
        <w:t>[2024]177</w:t>
      </w:r>
      <w:r>
        <w:rPr>
          <w:rFonts w:ascii="宋体" w:hAnsi="宋体" w:hint="eastAsia"/>
          <w:bCs/>
          <w:sz w:val="24"/>
        </w:rPr>
        <w:t>号）拍卖出让方案批复，遵循公开、公平、公正、诚实信用的原则组织拍卖活动。参加拍卖活动的当事人必须仔细、认真阅读并遵守本场拍卖会的《拍卖规则》及《福安市国有建设用地使用权拍卖出让须知》、福安市自然资源局文件（安自然资</w:t>
      </w:r>
      <w:r>
        <w:rPr>
          <w:rFonts w:ascii="宋体" w:hAnsi="宋体" w:hint="eastAsia"/>
          <w:bCs/>
          <w:sz w:val="24"/>
        </w:rPr>
        <w:t xml:space="preserve"> [2024]316</w:t>
      </w:r>
      <w:r>
        <w:rPr>
          <w:rFonts w:ascii="宋体" w:hAnsi="宋体" w:hint="eastAsia"/>
          <w:bCs/>
          <w:sz w:val="24"/>
        </w:rPr>
        <w:t>号）；现将注意事项告知如下：</w:t>
      </w:r>
    </w:p>
    <w:p w:rsidR="00A959EE" w:rsidRDefault="00A959EE" w:rsidP="00A959EE">
      <w:pPr>
        <w:widowControl w:val="0"/>
        <w:numPr>
          <w:ilvl w:val="0"/>
          <w:numId w:val="1"/>
        </w:numPr>
        <w:topLinePunct/>
        <w:spacing w:after="0" w:line="600" w:lineRule="exact"/>
        <w:ind w:leftChars="-200" w:left="-440" w:rightChars="-241" w:right="-530" w:firstLineChars="200" w:firstLine="480"/>
        <w:jc w:val="both"/>
        <w:rPr>
          <w:rFonts w:ascii="宋体" w:hAnsi="宋体" w:hint="eastAsia"/>
          <w:bCs/>
          <w:sz w:val="24"/>
        </w:rPr>
      </w:pPr>
      <w:r>
        <w:rPr>
          <w:rFonts w:ascii="宋体" w:hAnsi="宋体" w:hint="eastAsia"/>
          <w:bCs/>
          <w:sz w:val="24"/>
        </w:rPr>
        <w:t>拍卖标的物：赛岐城市综合体三期项目地块</w:t>
      </w:r>
    </w:p>
    <w:p w:rsidR="00A959EE" w:rsidRDefault="00A959EE" w:rsidP="00A959EE">
      <w:pPr>
        <w:widowControl w:val="0"/>
        <w:numPr>
          <w:ilvl w:val="0"/>
          <w:numId w:val="1"/>
        </w:numPr>
        <w:topLinePunct/>
        <w:spacing w:after="0" w:line="600" w:lineRule="exact"/>
        <w:ind w:leftChars="-200" w:left="-440" w:rightChars="-241" w:right="-530" w:firstLineChars="200" w:firstLine="480"/>
        <w:jc w:val="both"/>
        <w:rPr>
          <w:rFonts w:ascii="宋体" w:hAnsi="宋体"/>
          <w:bCs/>
          <w:sz w:val="24"/>
        </w:rPr>
      </w:pPr>
      <w:r>
        <w:rPr>
          <w:rFonts w:ascii="宋体" w:hAnsi="宋体" w:hint="eastAsia"/>
          <w:bCs/>
          <w:sz w:val="24"/>
        </w:rPr>
        <w:t>拍卖时间：</w:t>
      </w:r>
      <w:r>
        <w:rPr>
          <w:rFonts w:ascii="宋体" w:hAnsi="宋体" w:hint="eastAsia"/>
          <w:bCs/>
          <w:sz w:val="24"/>
        </w:rPr>
        <w:t>2024</w:t>
      </w:r>
      <w:r>
        <w:rPr>
          <w:rFonts w:ascii="宋体" w:hAnsi="宋体" w:hint="eastAsia"/>
          <w:bCs/>
          <w:sz w:val="24"/>
        </w:rPr>
        <w:t>年</w:t>
      </w:r>
      <w:r>
        <w:rPr>
          <w:rFonts w:ascii="宋体" w:hAnsi="宋体" w:hint="eastAsia"/>
          <w:bCs/>
          <w:sz w:val="24"/>
        </w:rPr>
        <w:t>7</w:t>
      </w:r>
      <w:r>
        <w:rPr>
          <w:rFonts w:ascii="宋体" w:hAnsi="宋体" w:hint="eastAsia"/>
          <w:bCs/>
          <w:sz w:val="24"/>
        </w:rPr>
        <w:t>月</w:t>
      </w:r>
      <w:r>
        <w:rPr>
          <w:rFonts w:ascii="宋体" w:hAnsi="宋体" w:hint="eastAsia"/>
          <w:bCs/>
          <w:sz w:val="24"/>
        </w:rPr>
        <w:t>19</w:t>
      </w:r>
      <w:r>
        <w:rPr>
          <w:rFonts w:ascii="宋体" w:hAnsi="宋体" w:hint="eastAsia"/>
          <w:bCs/>
          <w:sz w:val="24"/>
        </w:rPr>
        <w:t>日上午</w:t>
      </w:r>
      <w:r>
        <w:rPr>
          <w:rFonts w:ascii="宋体" w:hAnsi="宋体" w:hint="eastAsia"/>
          <w:bCs/>
          <w:sz w:val="24"/>
        </w:rPr>
        <w:t>9:00</w:t>
      </w:r>
      <w:r>
        <w:rPr>
          <w:rFonts w:ascii="宋体" w:hAnsi="宋体" w:hint="eastAsia"/>
          <w:bCs/>
          <w:sz w:val="24"/>
        </w:rPr>
        <w:t>【特别注意：</w:t>
      </w:r>
      <w:r>
        <w:rPr>
          <w:rFonts w:ascii="宋体" w:hAnsi="宋体" w:hint="eastAsia"/>
          <w:bCs/>
          <w:sz w:val="24"/>
        </w:rPr>
        <w:t>9:00</w:t>
      </w:r>
      <w:r>
        <w:rPr>
          <w:rFonts w:ascii="宋体" w:hAnsi="宋体" w:hint="eastAsia"/>
          <w:bCs/>
          <w:sz w:val="24"/>
        </w:rPr>
        <w:t>进行现场资格审核（竞买申请人须按时到场），具备申请条件的，将予以确认竞买资格，审核结束后随即开始现场交易。】</w:t>
      </w:r>
    </w:p>
    <w:p w:rsidR="00A959EE" w:rsidRDefault="00A959EE" w:rsidP="00A959EE">
      <w:pPr>
        <w:topLinePunct/>
        <w:spacing w:line="600" w:lineRule="exact"/>
        <w:ind w:leftChars="-200" w:left="-440" w:rightChars="-241" w:right="-530" w:firstLineChars="200" w:firstLine="480"/>
        <w:rPr>
          <w:rFonts w:ascii="宋体" w:hAnsi="宋体"/>
          <w:bCs/>
          <w:sz w:val="24"/>
        </w:rPr>
      </w:pPr>
      <w:r>
        <w:rPr>
          <w:rFonts w:ascii="宋体" w:hAnsi="宋体" w:hint="eastAsia"/>
          <w:bCs/>
          <w:sz w:val="24"/>
        </w:rPr>
        <w:t>三、拍卖会地址：福安市公共资源交易中心</w:t>
      </w:r>
      <w:r>
        <w:rPr>
          <w:rFonts w:ascii="宋体" w:hAnsi="宋体" w:hint="eastAsia"/>
          <w:bCs/>
          <w:sz w:val="24"/>
        </w:rPr>
        <w:t>1</w:t>
      </w:r>
      <w:r>
        <w:rPr>
          <w:rFonts w:ascii="宋体" w:hAnsi="宋体" w:hint="eastAsia"/>
          <w:bCs/>
          <w:sz w:val="24"/>
        </w:rPr>
        <w:t>号开标厅（福安市棠兴路</w:t>
      </w:r>
      <w:r>
        <w:rPr>
          <w:rFonts w:ascii="宋体" w:hAnsi="宋体" w:hint="eastAsia"/>
          <w:bCs/>
          <w:sz w:val="24"/>
        </w:rPr>
        <w:t>806</w:t>
      </w:r>
      <w:r>
        <w:rPr>
          <w:rFonts w:ascii="宋体" w:hAnsi="宋体" w:hint="eastAsia"/>
          <w:bCs/>
          <w:sz w:val="24"/>
        </w:rPr>
        <w:t>号市行政服务中心</w:t>
      </w:r>
      <w:r>
        <w:rPr>
          <w:rFonts w:ascii="宋体" w:hAnsi="宋体" w:hint="eastAsia"/>
          <w:bCs/>
          <w:sz w:val="24"/>
        </w:rPr>
        <w:t>7</w:t>
      </w:r>
      <w:r>
        <w:rPr>
          <w:rFonts w:ascii="宋体" w:hAnsi="宋体" w:hint="eastAsia"/>
          <w:bCs/>
          <w:sz w:val="24"/>
        </w:rPr>
        <w:t>楼）</w:t>
      </w:r>
    </w:p>
    <w:p w:rsidR="00A959EE" w:rsidRDefault="00A959EE" w:rsidP="00A959EE">
      <w:pPr>
        <w:topLinePunct/>
        <w:spacing w:line="600" w:lineRule="exact"/>
        <w:ind w:leftChars="-200" w:left="-440" w:rightChars="-241" w:right="-530" w:firstLineChars="200" w:firstLine="480"/>
        <w:rPr>
          <w:rFonts w:ascii="宋体" w:hAnsi="宋体"/>
          <w:bCs/>
          <w:sz w:val="24"/>
        </w:rPr>
      </w:pPr>
      <w:r>
        <w:rPr>
          <w:rFonts w:ascii="宋体" w:hAnsi="宋体" w:hint="eastAsia"/>
          <w:bCs/>
          <w:sz w:val="24"/>
        </w:rPr>
        <w:t>四、报名时间：</w:t>
      </w:r>
      <w:r>
        <w:rPr>
          <w:rFonts w:ascii="宋体" w:hAnsi="宋体" w:hint="eastAsia"/>
          <w:bCs/>
          <w:sz w:val="24"/>
        </w:rPr>
        <w:t>2024</w:t>
      </w:r>
      <w:r>
        <w:rPr>
          <w:rFonts w:ascii="宋体" w:hAnsi="宋体" w:hint="eastAsia"/>
          <w:bCs/>
          <w:sz w:val="24"/>
        </w:rPr>
        <w:t>年</w:t>
      </w:r>
      <w:r>
        <w:rPr>
          <w:rFonts w:ascii="宋体" w:hAnsi="宋体" w:hint="eastAsia"/>
          <w:bCs/>
          <w:sz w:val="24"/>
        </w:rPr>
        <w:t>6</w:t>
      </w:r>
      <w:r>
        <w:rPr>
          <w:rFonts w:ascii="宋体" w:hAnsi="宋体" w:hint="eastAsia"/>
          <w:bCs/>
          <w:sz w:val="24"/>
        </w:rPr>
        <w:t>月</w:t>
      </w:r>
      <w:r>
        <w:rPr>
          <w:rFonts w:ascii="宋体" w:hAnsi="宋体" w:hint="eastAsia"/>
          <w:bCs/>
          <w:sz w:val="24"/>
        </w:rPr>
        <w:t>29</w:t>
      </w:r>
      <w:r>
        <w:rPr>
          <w:rFonts w:ascii="宋体" w:hAnsi="宋体" w:hint="eastAsia"/>
          <w:bCs/>
          <w:sz w:val="24"/>
        </w:rPr>
        <w:t>日</w:t>
      </w:r>
      <w:r>
        <w:rPr>
          <w:rFonts w:ascii="宋体" w:hAnsi="宋体" w:hint="eastAsia"/>
          <w:bCs/>
          <w:sz w:val="24"/>
        </w:rPr>
        <w:t>8:00</w:t>
      </w:r>
      <w:r>
        <w:rPr>
          <w:rFonts w:ascii="宋体" w:hAnsi="宋体" w:hint="eastAsia"/>
          <w:bCs/>
          <w:sz w:val="24"/>
        </w:rPr>
        <w:t>至</w:t>
      </w:r>
      <w:r>
        <w:rPr>
          <w:rFonts w:ascii="宋体" w:hAnsi="宋体" w:hint="eastAsia"/>
          <w:bCs/>
          <w:sz w:val="24"/>
        </w:rPr>
        <w:t>2024</w:t>
      </w:r>
      <w:r>
        <w:rPr>
          <w:rFonts w:ascii="宋体" w:hAnsi="宋体" w:hint="eastAsia"/>
          <w:bCs/>
          <w:sz w:val="24"/>
        </w:rPr>
        <w:t>年</w:t>
      </w:r>
      <w:r>
        <w:rPr>
          <w:rFonts w:ascii="宋体" w:hAnsi="宋体" w:hint="eastAsia"/>
          <w:bCs/>
          <w:sz w:val="24"/>
        </w:rPr>
        <w:t>7</w:t>
      </w:r>
      <w:r>
        <w:rPr>
          <w:rFonts w:ascii="宋体" w:hAnsi="宋体" w:hint="eastAsia"/>
          <w:bCs/>
          <w:sz w:val="24"/>
        </w:rPr>
        <w:t>月</w:t>
      </w:r>
      <w:r>
        <w:rPr>
          <w:rFonts w:ascii="宋体" w:hAnsi="宋体" w:hint="eastAsia"/>
          <w:bCs/>
          <w:sz w:val="24"/>
        </w:rPr>
        <w:t>18</w:t>
      </w:r>
      <w:r>
        <w:rPr>
          <w:rFonts w:ascii="宋体" w:hAnsi="宋体" w:hint="eastAsia"/>
          <w:bCs/>
          <w:sz w:val="24"/>
        </w:rPr>
        <w:t>日</w:t>
      </w:r>
      <w:r>
        <w:rPr>
          <w:rFonts w:ascii="宋体" w:hAnsi="宋体" w:hint="eastAsia"/>
          <w:bCs/>
          <w:sz w:val="24"/>
        </w:rPr>
        <w:t>17:00</w:t>
      </w:r>
    </w:p>
    <w:p w:rsidR="00A959EE" w:rsidRDefault="00A959EE" w:rsidP="00A959EE">
      <w:pPr>
        <w:topLinePunct/>
        <w:spacing w:line="600" w:lineRule="exact"/>
        <w:ind w:leftChars="-200" w:left="-440" w:rightChars="-241" w:right="-530" w:firstLineChars="200" w:firstLine="480"/>
        <w:rPr>
          <w:rFonts w:ascii="宋体" w:hAnsi="宋体"/>
          <w:bCs/>
          <w:sz w:val="24"/>
        </w:rPr>
      </w:pPr>
      <w:r>
        <w:rPr>
          <w:rFonts w:ascii="宋体" w:hAnsi="宋体" w:hint="eastAsia"/>
          <w:bCs/>
          <w:sz w:val="24"/>
        </w:rPr>
        <w:t>五、报名地址</w:t>
      </w:r>
      <w:r>
        <w:rPr>
          <w:rFonts w:ascii="宋体" w:hAnsi="宋体" w:hint="eastAsia"/>
          <w:bCs/>
          <w:sz w:val="24"/>
        </w:rPr>
        <w:t>:</w:t>
      </w:r>
      <w:r>
        <w:rPr>
          <w:rFonts w:ascii="宋体" w:hAnsi="宋体" w:hint="eastAsia"/>
          <w:bCs/>
          <w:sz w:val="24"/>
        </w:rPr>
        <w:t>福安市公共资源交易中心</w:t>
      </w:r>
      <w:r>
        <w:rPr>
          <w:rFonts w:ascii="宋体" w:hAnsi="宋体" w:hint="eastAsia"/>
          <w:sz w:val="24"/>
        </w:rPr>
        <w:t>福建恒信拍卖行有限公司</w:t>
      </w:r>
      <w:r>
        <w:rPr>
          <w:rFonts w:ascii="宋体" w:hAnsi="宋体" w:hint="eastAsia"/>
          <w:bCs/>
          <w:sz w:val="24"/>
        </w:rPr>
        <w:t>代表处（福安市棠兴路</w:t>
      </w:r>
      <w:r>
        <w:rPr>
          <w:rFonts w:ascii="宋体" w:hAnsi="宋体" w:hint="eastAsia"/>
          <w:bCs/>
          <w:sz w:val="24"/>
        </w:rPr>
        <w:t>806</w:t>
      </w:r>
      <w:r>
        <w:rPr>
          <w:rFonts w:ascii="宋体" w:hAnsi="宋体" w:hint="eastAsia"/>
          <w:bCs/>
          <w:sz w:val="24"/>
        </w:rPr>
        <w:t>号市行政服务中心</w:t>
      </w:r>
      <w:r>
        <w:rPr>
          <w:rFonts w:ascii="宋体" w:hAnsi="宋体" w:hint="eastAsia"/>
          <w:bCs/>
          <w:sz w:val="24"/>
        </w:rPr>
        <w:t>7</w:t>
      </w:r>
      <w:r>
        <w:rPr>
          <w:rFonts w:ascii="宋体" w:hAnsi="宋体" w:hint="eastAsia"/>
          <w:bCs/>
          <w:sz w:val="24"/>
        </w:rPr>
        <w:t>楼）</w:t>
      </w:r>
    </w:p>
    <w:p w:rsidR="00A959EE" w:rsidRDefault="00A959EE" w:rsidP="00A959EE">
      <w:pPr>
        <w:topLinePunct/>
        <w:spacing w:line="600" w:lineRule="exact"/>
        <w:ind w:leftChars="-200" w:left="-440" w:rightChars="-241" w:right="-530" w:firstLineChars="200" w:firstLine="480"/>
        <w:rPr>
          <w:rFonts w:ascii="宋体" w:hAnsi="宋体" w:hint="eastAsia"/>
          <w:bCs/>
          <w:sz w:val="24"/>
        </w:rPr>
      </w:pPr>
      <w:r>
        <w:rPr>
          <w:rFonts w:ascii="宋体" w:hAnsi="宋体" w:hint="eastAsia"/>
          <w:bCs/>
          <w:sz w:val="24"/>
        </w:rPr>
        <w:t>六、参与竞买人条件</w:t>
      </w:r>
    </w:p>
    <w:p w:rsidR="00A959EE" w:rsidRDefault="00A959EE" w:rsidP="00A959EE">
      <w:pPr>
        <w:topLinePunct/>
        <w:spacing w:line="600" w:lineRule="exact"/>
        <w:ind w:leftChars="-200" w:left="-440" w:rightChars="-241" w:right="-530" w:firstLineChars="200" w:firstLine="480"/>
        <w:rPr>
          <w:rFonts w:ascii="宋体" w:hAnsi="宋体" w:hint="eastAsia"/>
          <w:bCs/>
          <w:sz w:val="24"/>
        </w:rPr>
      </w:pPr>
      <w:r>
        <w:rPr>
          <w:rFonts w:ascii="宋体" w:hAnsi="宋体" w:hint="eastAsia"/>
          <w:bCs/>
          <w:sz w:val="24"/>
        </w:rPr>
        <w:lastRenderedPageBreak/>
        <w:t>1.</w:t>
      </w:r>
      <w:r>
        <w:rPr>
          <w:rFonts w:ascii="宋体" w:hAnsi="宋体" w:hint="eastAsia"/>
          <w:bCs/>
          <w:sz w:val="24"/>
        </w:rPr>
        <w:t>中华人民共和国境内外的企业法人、自然人（列入福建省自然资源厅“黑名单”的企业法人、自然人以及法律法规另有规定不得参加竞买的除外）在规定的期限内均可申请参加竞买。申请人可以单独申请，也可以联合申请。</w:t>
      </w:r>
    </w:p>
    <w:p w:rsidR="00A959EE" w:rsidRDefault="00A959EE" w:rsidP="00A959EE">
      <w:pPr>
        <w:topLinePunct/>
        <w:spacing w:line="600" w:lineRule="exact"/>
        <w:ind w:leftChars="-200" w:left="-440" w:rightChars="-241" w:right="-530" w:firstLineChars="200" w:firstLine="480"/>
        <w:rPr>
          <w:rFonts w:ascii="宋体" w:hAnsi="宋体" w:hint="eastAsia"/>
          <w:bCs/>
          <w:sz w:val="24"/>
        </w:rPr>
      </w:pPr>
      <w:r>
        <w:rPr>
          <w:rFonts w:ascii="宋体" w:hAnsi="宋体" w:hint="eastAsia"/>
          <w:bCs/>
          <w:sz w:val="24"/>
        </w:rPr>
        <w:t>2.</w:t>
      </w:r>
      <w:r>
        <w:rPr>
          <w:rFonts w:ascii="宋体" w:hAnsi="宋体" w:hint="eastAsia"/>
          <w:bCs/>
          <w:sz w:val="24"/>
        </w:rPr>
        <w:t>不具备相应开发资质的申请人竞得土地后，可在</w:t>
      </w:r>
      <w:r>
        <w:rPr>
          <w:rFonts w:ascii="宋体" w:hAnsi="宋体" w:hint="eastAsia"/>
          <w:bCs/>
          <w:sz w:val="24"/>
        </w:rPr>
        <w:t>90</w:t>
      </w:r>
      <w:r>
        <w:rPr>
          <w:rFonts w:ascii="宋体" w:hAnsi="宋体" w:hint="eastAsia"/>
          <w:bCs/>
          <w:sz w:val="24"/>
        </w:rPr>
        <w:t>日内在福安市注册登记具有相应开发资质的公司进行项目开发建设。申请人竞得地块后，拟成立新公司进行开发建设的，应在竞买申请书中明确新公司的出资构成、成立时间等内容。</w:t>
      </w:r>
    </w:p>
    <w:p w:rsidR="00A959EE" w:rsidRDefault="00A959EE" w:rsidP="00A959EE">
      <w:pPr>
        <w:tabs>
          <w:tab w:val="left" w:pos="3990"/>
        </w:tabs>
        <w:topLinePunct/>
        <w:spacing w:line="600" w:lineRule="exact"/>
        <w:ind w:rightChars="-241" w:right="-530"/>
        <w:rPr>
          <w:rFonts w:ascii="宋体" w:hAnsi="宋体" w:hint="eastAsia"/>
          <w:bCs/>
          <w:sz w:val="24"/>
        </w:rPr>
      </w:pPr>
      <w:r>
        <w:rPr>
          <w:rFonts w:ascii="宋体" w:hAnsi="宋体" w:hint="eastAsia"/>
          <w:bCs/>
          <w:sz w:val="24"/>
        </w:rPr>
        <w:t>3.</w:t>
      </w:r>
      <w:r>
        <w:rPr>
          <w:rFonts w:ascii="宋体" w:hAnsi="宋体" w:hint="eastAsia"/>
          <w:bCs/>
          <w:sz w:val="24"/>
        </w:rPr>
        <w:t>有意参加竞买者须缴纳</w:t>
      </w:r>
      <w:r>
        <w:rPr>
          <w:rFonts w:ascii="宋体" w:hAnsi="宋体" w:hint="eastAsia"/>
          <w:bCs/>
          <w:sz w:val="24"/>
        </w:rPr>
        <w:t>2300</w:t>
      </w:r>
      <w:r>
        <w:rPr>
          <w:rFonts w:ascii="宋体" w:hAnsi="宋体" w:hint="eastAsia"/>
          <w:bCs/>
          <w:sz w:val="24"/>
        </w:rPr>
        <w:t>万元竞买保证金，竞买保证金缴纳截止时间至</w:t>
      </w:r>
      <w:r>
        <w:rPr>
          <w:rFonts w:ascii="宋体" w:hAnsi="宋体" w:hint="eastAsia"/>
          <w:bCs/>
          <w:sz w:val="24"/>
        </w:rPr>
        <w:t>2024</w:t>
      </w:r>
      <w:r>
        <w:rPr>
          <w:rFonts w:ascii="宋体" w:hAnsi="宋体" w:hint="eastAsia"/>
          <w:bCs/>
          <w:sz w:val="24"/>
        </w:rPr>
        <w:t>年</w:t>
      </w:r>
      <w:r>
        <w:rPr>
          <w:rFonts w:ascii="宋体" w:hAnsi="宋体" w:hint="eastAsia"/>
          <w:bCs/>
          <w:sz w:val="24"/>
        </w:rPr>
        <w:t>7</w:t>
      </w:r>
      <w:r>
        <w:rPr>
          <w:rFonts w:ascii="宋体" w:hAnsi="宋体" w:hint="eastAsia"/>
          <w:bCs/>
          <w:sz w:val="24"/>
        </w:rPr>
        <w:t>月</w:t>
      </w:r>
      <w:r>
        <w:rPr>
          <w:rFonts w:ascii="宋体" w:hAnsi="宋体" w:hint="eastAsia"/>
          <w:bCs/>
          <w:sz w:val="24"/>
        </w:rPr>
        <w:t>18</w:t>
      </w:r>
      <w:r>
        <w:rPr>
          <w:rFonts w:ascii="宋体" w:hAnsi="宋体" w:hint="eastAsia"/>
          <w:bCs/>
          <w:sz w:val="24"/>
        </w:rPr>
        <w:t>日</w:t>
      </w:r>
      <w:r>
        <w:rPr>
          <w:rFonts w:ascii="宋体" w:hAnsi="宋体" w:hint="eastAsia"/>
          <w:bCs/>
          <w:sz w:val="24"/>
        </w:rPr>
        <w:t>17:00</w:t>
      </w:r>
      <w:r>
        <w:rPr>
          <w:rFonts w:ascii="宋体" w:hAnsi="宋体" w:hint="eastAsia"/>
          <w:bCs/>
          <w:sz w:val="24"/>
        </w:rPr>
        <w:t>止（以到指定银行帐户存款时间为准）。竞买保证金存入以下帐户：</w:t>
      </w:r>
    </w:p>
    <w:p w:rsidR="00A959EE" w:rsidRDefault="00A959EE" w:rsidP="00A959EE">
      <w:pPr>
        <w:tabs>
          <w:tab w:val="left" w:pos="3990"/>
        </w:tabs>
        <w:topLinePunct/>
        <w:spacing w:line="600" w:lineRule="exact"/>
        <w:ind w:rightChars="-241" w:right="-530"/>
        <w:rPr>
          <w:rFonts w:ascii="宋体" w:hAnsi="宋体" w:hint="eastAsia"/>
          <w:bCs/>
          <w:sz w:val="24"/>
        </w:rPr>
      </w:pPr>
    </w:p>
    <w:p w:rsidR="00A959EE" w:rsidRDefault="00A959EE" w:rsidP="00A959EE">
      <w:pPr>
        <w:spacing w:line="320" w:lineRule="exact"/>
        <w:ind w:firstLineChars="200" w:firstLine="480"/>
        <w:jc w:val="both"/>
        <w:rPr>
          <w:rFonts w:ascii="宋体" w:eastAsia="宋体" w:hAnsi="宋体" w:cs="宋体" w:hint="eastAsia"/>
          <w:sz w:val="24"/>
          <w:szCs w:val="24"/>
        </w:rPr>
      </w:pPr>
      <w:r>
        <w:rPr>
          <w:rFonts w:ascii="宋体" w:eastAsia="宋体" w:hAnsi="宋体" w:cs="宋体" w:hint="eastAsia"/>
          <w:sz w:val="24"/>
          <w:szCs w:val="24"/>
        </w:rPr>
        <w:t xml:space="preserve">开户单位：福安市行政服务中心管理委员会 </w:t>
      </w:r>
    </w:p>
    <w:p w:rsidR="00A959EE" w:rsidRDefault="00A959EE" w:rsidP="00A959EE">
      <w:pPr>
        <w:spacing w:line="320" w:lineRule="exact"/>
        <w:ind w:firstLineChars="200" w:firstLine="468"/>
        <w:jc w:val="both"/>
        <w:rPr>
          <w:rFonts w:ascii="宋体" w:eastAsia="宋体" w:hAnsi="宋体" w:cs="宋体" w:hint="eastAsia"/>
          <w:sz w:val="24"/>
          <w:szCs w:val="24"/>
        </w:rPr>
      </w:pPr>
      <w:r>
        <w:rPr>
          <w:rFonts w:ascii="宋体" w:eastAsia="宋体" w:hAnsi="宋体" w:cs="宋体" w:hint="eastAsia"/>
          <w:spacing w:val="-6"/>
          <w:sz w:val="24"/>
          <w:szCs w:val="24"/>
        </w:rPr>
        <w:t>开户银行：</w:t>
      </w:r>
      <w:r>
        <w:rPr>
          <w:rFonts w:ascii="宋体" w:eastAsia="宋体" w:hAnsi="宋体" w:cs="宋体" w:hint="eastAsia"/>
          <w:sz w:val="24"/>
          <w:szCs w:val="24"/>
        </w:rPr>
        <w:t>中国工商银行股份有限公司福安支行</w:t>
      </w:r>
    </w:p>
    <w:p w:rsidR="00A959EE" w:rsidRDefault="00A959EE" w:rsidP="00A959EE">
      <w:pPr>
        <w:spacing w:line="320" w:lineRule="exact"/>
        <w:ind w:right="560" w:firstLineChars="200" w:firstLine="468"/>
        <w:jc w:val="both"/>
        <w:rPr>
          <w:rFonts w:ascii="宋体" w:eastAsia="宋体" w:hAnsi="宋体" w:cs="宋体" w:hint="eastAsia"/>
          <w:sz w:val="24"/>
          <w:szCs w:val="24"/>
        </w:rPr>
      </w:pPr>
      <w:r>
        <w:rPr>
          <w:rFonts w:ascii="宋体" w:eastAsia="宋体" w:hAnsi="宋体" w:cs="宋体" w:hint="eastAsia"/>
          <w:spacing w:val="-6"/>
          <w:sz w:val="24"/>
          <w:szCs w:val="24"/>
        </w:rPr>
        <w:t>账    号：</w:t>
      </w:r>
      <w:r>
        <w:rPr>
          <w:rFonts w:ascii="宋体" w:eastAsia="宋体" w:hAnsi="宋体" w:cs="宋体" w:hint="eastAsia"/>
          <w:sz w:val="24"/>
          <w:szCs w:val="24"/>
        </w:rPr>
        <w:t>1407002529900392189</w:t>
      </w:r>
    </w:p>
    <w:p w:rsidR="00A959EE" w:rsidRDefault="00A959EE" w:rsidP="00A959EE">
      <w:pPr>
        <w:spacing w:line="320" w:lineRule="exact"/>
        <w:ind w:right="560" w:firstLineChars="150" w:firstLine="360"/>
        <w:jc w:val="both"/>
        <w:rPr>
          <w:rFonts w:ascii="宋体" w:eastAsia="宋体" w:hAnsi="宋体" w:cs="宋体" w:hint="eastAsia"/>
          <w:sz w:val="24"/>
          <w:szCs w:val="24"/>
        </w:rPr>
      </w:pPr>
    </w:p>
    <w:p w:rsidR="00A959EE" w:rsidRDefault="00A959EE" w:rsidP="00A959EE">
      <w:pPr>
        <w:wordWrap w:val="0"/>
        <w:topLinePunct/>
        <w:spacing w:line="440" w:lineRule="exact"/>
        <w:ind w:firstLineChars="200" w:firstLine="480"/>
        <w:jc w:val="both"/>
        <w:rPr>
          <w:rFonts w:ascii="宋体" w:eastAsia="宋体" w:hAnsi="宋体" w:cs="宋体" w:hint="eastAsia"/>
          <w:sz w:val="24"/>
          <w:szCs w:val="24"/>
        </w:rPr>
      </w:pPr>
      <w:r>
        <w:rPr>
          <w:rFonts w:ascii="宋体" w:eastAsia="宋体" w:hAnsi="宋体" w:cs="宋体" w:hint="eastAsia"/>
          <w:sz w:val="24"/>
          <w:szCs w:val="24"/>
        </w:rPr>
        <w:t>开户单位：福安市行政服务中心管理委员会</w:t>
      </w:r>
    </w:p>
    <w:p w:rsidR="00A959EE" w:rsidRDefault="00A959EE" w:rsidP="00A959EE">
      <w:pPr>
        <w:wordWrap w:val="0"/>
        <w:topLinePunct/>
        <w:spacing w:line="440" w:lineRule="exact"/>
        <w:ind w:firstLineChars="200" w:firstLine="468"/>
        <w:jc w:val="both"/>
        <w:rPr>
          <w:rFonts w:ascii="宋体" w:eastAsia="宋体" w:hAnsi="宋体" w:cs="宋体" w:hint="eastAsia"/>
          <w:sz w:val="24"/>
          <w:szCs w:val="24"/>
        </w:rPr>
      </w:pPr>
      <w:r>
        <w:rPr>
          <w:rFonts w:ascii="宋体" w:eastAsia="宋体" w:hAnsi="宋体" w:cs="宋体" w:hint="eastAsia"/>
          <w:spacing w:val="-6"/>
          <w:sz w:val="24"/>
          <w:szCs w:val="24"/>
        </w:rPr>
        <w:t>开户银行：</w:t>
      </w:r>
      <w:r>
        <w:rPr>
          <w:rFonts w:ascii="宋体" w:eastAsia="宋体" w:hAnsi="宋体" w:cs="宋体" w:hint="eastAsia"/>
          <w:sz w:val="24"/>
          <w:szCs w:val="24"/>
        </w:rPr>
        <w:t>邮政储蓄银行福安市支行</w:t>
      </w:r>
    </w:p>
    <w:p w:rsidR="00A959EE" w:rsidRDefault="00A959EE" w:rsidP="00A959EE">
      <w:pPr>
        <w:wordWrap w:val="0"/>
        <w:topLinePunct/>
        <w:spacing w:line="440" w:lineRule="exact"/>
        <w:ind w:right="560" w:firstLineChars="200" w:firstLine="468"/>
        <w:jc w:val="both"/>
        <w:rPr>
          <w:rFonts w:ascii="宋体" w:eastAsia="宋体" w:hAnsi="宋体" w:cs="宋体" w:hint="eastAsia"/>
          <w:spacing w:val="-6"/>
          <w:sz w:val="24"/>
          <w:szCs w:val="24"/>
        </w:rPr>
      </w:pPr>
      <w:r>
        <w:rPr>
          <w:rFonts w:ascii="宋体" w:eastAsia="宋体" w:hAnsi="宋体" w:cs="宋体" w:hint="eastAsia"/>
          <w:spacing w:val="-6"/>
          <w:sz w:val="24"/>
          <w:szCs w:val="24"/>
        </w:rPr>
        <w:t>账    号：935005010011820002</w:t>
      </w:r>
    </w:p>
    <w:p w:rsidR="00A959EE" w:rsidRDefault="00A959EE" w:rsidP="00A959EE">
      <w:pPr>
        <w:wordWrap w:val="0"/>
        <w:topLinePunct/>
        <w:spacing w:line="440" w:lineRule="exact"/>
        <w:jc w:val="both"/>
        <w:rPr>
          <w:rFonts w:ascii="宋体" w:eastAsia="宋体" w:hAnsi="宋体" w:cs="宋体" w:hint="eastAsia"/>
          <w:sz w:val="24"/>
          <w:szCs w:val="24"/>
        </w:rPr>
      </w:pPr>
    </w:p>
    <w:p w:rsidR="00A959EE" w:rsidRDefault="00A959EE" w:rsidP="00A959EE">
      <w:pPr>
        <w:wordWrap w:val="0"/>
        <w:topLinePunct/>
        <w:spacing w:line="440" w:lineRule="exact"/>
        <w:ind w:firstLineChars="200" w:firstLine="480"/>
        <w:jc w:val="both"/>
        <w:rPr>
          <w:rFonts w:ascii="宋体" w:eastAsia="宋体" w:hAnsi="宋体" w:cs="宋体" w:hint="eastAsia"/>
          <w:sz w:val="24"/>
          <w:szCs w:val="24"/>
        </w:rPr>
      </w:pPr>
      <w:r>
        <w:rPr>
          <w:rFonts w:ascii="宋体" w:eastAsia="宋体" w:hAnsi="宋体" w:cs="宋体" w:hint="eastAsia"/>
          <w:sz w:val="24"/>
          <w:szCs w:val="24"/>
        </w:rPr>
        <w:t xml:space="preserve">开户单位：福安市行政服务中心管理委员会 </w:t>
      </w:r>
    </w:p>
    <w:p w:rsidR="00A959EE" w:rsidRDefault="00A959EE" w:rsidP="00A959EE">
      <w:pPr>
        <w:wordWrap w:val="0"/>
        <w:topLinePunct/>
        <w:spacing w:line="440" w:lineRule="exact"/>
        <w:ind w:firstLineChars="200" w:firstLine="468"/>
        <w:jc w:val="both"/>
        <w:rPr>
          <w:rFonts w:ascii="宋体" w:eastAsia="宋体" w:hAnsi="宋体" w:cs="宋体" w:hint="eastAsia"/>
          <w:sz w:val="24"/>
          <w:szCs w:val="24"/>
        </w:rPr>
      </w:pPr>
      <w:r>
        <w:rPr>
          <w:rFonts w:ascii="宋体" w:eastAsia="宋体" w:hAnsi="宋体" w:cs="宋体" w:hint="eastAsia"/>
          <w:spacing w:val="-6"/>
          <w:sz w:val="24"/>
          <w:szCs w:val="24"/>
        </w:rPr>
        <w:t>开户银行：</w:t>
      </w:r>
      <w:r>
        <w:rPr>
          <w:rFonts w:ascii="宋体" w:eastAsia="宋体" w:hAnsi="宋体" w:cs="宋体" w:hint="eastAsia"/>
          <w:sz w:val="24"/>
          <w:szCs w:val="24"/>
        </w:rPr>
        <w:t>建设银行福安支行</w:t>
      </w:r>
    </w:p>
    <w:p w:rsidR="00A959EE" w:rsidRDefault="00A959EE" w:rsidP="00A959EE">
      <w:pPr>
        <w:wordWrap w:val="0"/>
        <w:topLinePunct/>
        <w:spacing w:line="440" w:lineRule="exact"/>
        <w:ind w:right="560" w:firstLineChars="200" w:firstLine="468"/>
        <w:jc w:val="both"/>
        <w:rPr>
          <w:rFonts w:ascii="宋体" w:eastAsia="宋体" w:hAnsi="宋体" w:cs="宋体" w:hint="eastAsia"/>
          <w:spacing w:val="-6"/>
          <w:sz w:val="24"/>
          <w:szCs w:val="24"/>
        </w:rPr>
      </w:pPr>
      <w:r>
        <w:rPr>
          <w:rFonts w:ascii="宋体" w:eastAsia="宋体" w:hAnsi="宋体" w:cs="宋体" w:hint="eastAsia"/>
          <w:spacing w:val="-6"/>
          <w:sz w:val="24"/>
          <w:szCs w:val="24"/>
        </w:rPr>
        <w:t xml:space="preserve">账    号：35050168620700001459       </w:t>
      </w:r>
    </w:p>
    <w:p w:rsidR="00A959EE" w:rsidRDefault="00A959EE" w:rsidP="00A959EE">
      <w:pPr>
        <w:wordWrap w:val="0"/>
        <w:topLinePunct/>
        <w:spacing w:line="120" w:lineRule="exact"/>
        <w:ind w:right="561" w:firstLineChars="150" w:firstLine="351"/>
        <w:jc w:val="both"/>
        <w:rPr>
          <w:rFonts w:ascii="宋体" w:eastAsia="宋体" w:hAnsi="宋体" w:cs="宋体" w:hint="eastAsia"/>
          <w:color w:val="C00000"/>
          <w:spacing w:val="-6"/>
          <w:sz w:val="24"/>
          <w:szCs w:val="24"/>
        </w:rPr>
      </w:pPr>
    </w:p>
    <w:p w:rsidR="00A959EE" w:rsidRDefault="00A959EE" w:rsidP="00A959EE">
      <w:pPr>
        <w:wordWrap w:val="0"/>
        <w:topLinePunct/>
        <w:spacing w:line="120" w:lineRule="exact"/>
        <w:ind w:right="561" w:firstLineChars="150" w:firstLine="351"/>
        <w:jc w:val="both"/>
        <w:rPr>
          <w:rFonts w:ascii="宋体" w:eastAsia="宋体" w:hAnsi="宋体" w:cs="宋体" w:hint="eastAsia"/>
          <w:color w:val="C00000"/>
          <w:spacing w:val="-6"/>
          <w:sz w:val="24"/>
          <w:szCs w:val="24"/>
        </w:rPr>
      </w:pPr>
    </w:p>
    <w:p w:rsidR="00A959EE" w:rsidRDefault="00A959EE" w:rsidP="00A959EE">
      <w:pPr>
        <w:wordWrap w:val="0"/>
        <w:topLinePunct/>
        <w:spacing w:line="440" w:lineRule="exact"/>
        <w:ind w:firstLineChars="200" w:firstLine="480"/>
        <w:jc w:val="both"/>
        <w:rPr>
          <w:rFonts w:ascii="宋体" w:eastAsia="宋体" w:hAnsi="宋体" w:cs="宋体" w:hint="eastAsia"/>
          <w:sz w:val="24"/>
          <w:szCs w:val="24"/>
        </w:rPr>
      </w:pPr>
      <w:r>
        <w:rPr>
          <w:rFonts w:ascii="宋体" w:eastAsia="宋体" w:hAnsi="宋体" w:cs="宋体" w:hint="eastAsia"/>
          <w:sz w:val="24"/>
          <w:szCs w:val="24"/>
        </w:rPr>
        <w:lastRenderedPageBreak/>
        <w:t>开户单位：福安市行政服务中心管理委员会</w:t>
      </w:r>
    </w:p>
    <w:p w:rsidR="00A959EE" w:rsidRDefault="00A959EE" w:rsidP="00A959EE">
      <w:pPr>
        <w:wordWrap w:val="0"/>
        <w:topLinePunct/>
        <w:spacing w:line="440" w:lineRule="exact"/>
        <w:ind w:firstLineChars="200" w:firstLine="468"/>
        <w:jc w:val="both"/>
        <w:rPr>
          <w:rFonts w:ascii="宋体" w:eastAsia="宋体" w:hAnsi="宋体" w:cs="宋体" w:hint="eastAsia"/>
          <w:sz w:val="24"/>
          <w:szCs w:val="24"/>
        </w:rPr>
      </w:pPr>
      <w:r>
        <w:rPr>
          <w:rFonts w:ascii="宋体" w:eastAsia="宋体" w:hAnsi="宋体" w:cs="宋体" w:hint="eastAsia"/>
          <w:spacing w:val="-6"/>
          <w:sz w:val="24"/>
          <w:szCs w:val="24"/>
        </w:rPr>
        <w:t>开户银行：</w:t>
      </w:r>
      <w:r>
        <w:rPr>
          <w:rFonts w:ascii="宋体" w:eastAsia="宋体" w:hAnsi="宋体" w:cs="宋体" w:hint="eastAsia"/>
          <w:sz w:val="24"/>
          <w:szCs w:val="24"/>
        </w:rPr>
        <w:t>中国银行福安支行</w:t>
      </w:r>
    </w:p>
    <w:p w:rsidR="00A959EE" w:rsidRDefault="00A959EE" w:rsidP="00A959EE">
      <w:pPr>
        <w:wordWrap w:val="0"/>
        <w:topLinePunct/>
        <w:spacing w:line="440" w:lineRule="exact"/>
        <w:ind w:firstLineChars="200" w:firstLine="468"/>
        <w:rPr>
          <w:rFonts w:ascii="宋体" w:eastAsia="宋体" w:hAnsi="宋体" w:cs="宋体" w:hint="eastAsia"/>
          <w:spacing w:val="-6"/>
          <w:sz w:val="24"/>
          <w:szCs w:val="24"/>
        </w:rPr>
      </w:pPr>
      <w:r>
        <w:rPr>
          <w:rFonts w:ascii="宋体" w:eastAsia="宋体" w:hAnsi="宋体" w:cs="宋体" w:hint="eastAsia"/>
          <w:spacing w:val="-6"/>
          <w:sz w:val="24"/>
          <w:szCs w:val="24"/>
        </w:rPr>
        <w:t>账    号：405276654978</w:t>
      </w:r>
    </w:p>
    <w:p w:rsidR="00A959EE" w:rsidRDefault="00A959EE" w:rsidP="00A959EE">
      <w:pPr>
        <w:wordWrap w:val="0"/>
        <w:topLinePunct/>
        <w:spacing w:line="44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 xml:space="preserve">开户单位：福安市行政服务中心管理委员会   </w:t>
      </w:r>
    </w:p>
    <w:p w:rsidR="00A959EE" w:rsidRDefault="00A959EE" w:rsidP="00A959EE">
      <w:pPr>
        <w:wordWrap w:val="0"/>
        <w:topLinePunct/>
        <w:spacing w:line="44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开户银行：福安市金山农村信用合作社</w:t>
      </w:r>
    </w:p>
    <w:p w:rsidR="00A959EE" w:rsidRDefault="00A959EE" w:rsidP="00A959EE">
      <w:pPr>
        <w:wordWrap w:val="0"/>
        <w:topLinePunct/>
        <w:spacing w:line="440" w:lineRule="exact"/>
        <w:ind w:firstLineChars="200" w:firstLine="480"/>
        <w:rPr>
          <w:rFonts w:ascii="宋体" w:eastAsia="宋体" w:hAnsi="宋体" w:cs="宋体" w:hint="eastAsia"/>
          <w:spacing w:val="-6"/>
          <w:sz w:val="24"/>
          <w:szCs w:val="24"/>
        </w:rPr>
      </w:pPr>
      <w:r>
        <w:rPr>
          <w:rFonts w:ascii="宋体" w:eastAsia="宋体" w:hAnsi="宋体" w:cs="宋体" w:hint="eastAsia"/>
          <w:sz w:val="24"/>
          <w:szCs w:val="24"/>
        </w:rPr>
        <w:t>账    号：9060528010010000343606</w:t>
      </w:r>
    </w:p>
    <w:p w:rsidR="00A959EE" w:rsidRDefault="00A959EE" w:rsidP="00A959EE">
      <w:pPr>
        <w:topLinePunct/>
        <w:spacing w:line="600" w:lineRule="exact"/>
        <w:ind w:leftChars="-200" w:left="-440" w:rightChars="-241" w:right="-530" w:firstLineChars="200" w:firstLine="480"/>
        <w:rPr>
          <w:rFonts w:ascii="宋体" w:hAnsi="宋体"/>
          <w:bCs/>
          <w:sz w:val="24"/>
        </w:rPr>
      </w:pPr>
      <w:r>
        <w:rPr>
          <w:rFonts w:ascii="宋体" w:hAnsi="宋体" w:hint="eastAsia"/>
          <w:bCs/>
          <w:sz w:val="24"/>
        </w:rPr>
        <w:t>4.</w:t>
      </w:r>
      <w:r>
        <w:rPr>
          <w:rFonts w:ascii="宋体" w:hAnsi="宋体" w:hint="eastAsia"/>
          <w:bCs/>
          <w:sz w:val="24"/>
        </w:rPr>
        <w:t>经福安市自然资源局现场审核确认竞买资格后，竞买人凭竞买资格确认书及竞买保证金收款单据领取竞买号牌。为保证拍卖会秩序，每个号牌最多允许进场三人，竞买人应准时进场参加拍卖会，如逾期其产生的后果由竞买人自行承担。</w:t>
      </w:r>
    </w:p>
    <w:p w:rsidR="00A959EE" w:rsidRDefault="00A959EE" w:rsidP="00A959EE">
      <w:pPr>
        <w:topLinePunct/>
        <w:spacing w:line="600" w:lineRule="exact"/>
        <w:ind w:leftChars="-200" w:left="-440" w:rightChars="-241" w:right="-530" w:firstLineChars="200" w:firstLine="480"/>
        <w:rPr>
          <w:rFonts w:ascii="宋体" w:hAnsi="宋体"/>
          <w:bCs/>
          <w:sz w:val="24"/>
        </w:rPr>
      </w:pPr>
      <w:r>
        <w:rPr>
          <w:rFonts w:ascii="宋体" w:hAnsi="宋体" w:hint="eastAsia"/>
          <w:bCs/>
          <w:sz w:val="24"/>
        </w:rPr>
        <w:t>5.</w:t>
      </w:r>
      <w:r>
        <w:rPr>
          <w:rFonts w:ascii="宋体" w:hAnsi="宋体" w:hint="eastAsia"/>
          <w:bCs/>
          <w:sz w:val="24"/>
        </w:rPr>
        <w:t>出让地块的详细资料和具体要求详见（福安市国有建设用地使用权拍卖出让须知）。</w:t>
      </w:r>
    </w:p>
    <w:p w:rsidR="00A959EE" w:rsidRDefault="00A959EE" w:rsidP="00A959EE">
      <w:pPr>
        <w:topLinePunct/>
        <w:spacing w:line="600" w:lineRule="exact"/>
        <w:ind w:leftChars="-200" w:left="-440" w:rightChars="-241" w:right="-530" w:firstLineChars="200" w:firstLine="480"/>
        <w:rPr>
          <w:rFonts w:ascii="宋体" w:hAnsi="宋体"/>
          <w:bCs/>
          <w:sz w:val="24"/>
        </w:rPr>
      </w:pPr>
      <w:r>
        <w:rPr>
          <w:rFonts w:ascii="宋体" w:hAnsi="宋体" w:hint="eastAsia"/>
          <w:bCs/>
          <w:sz w:val="24"/>
        </w:rPr>
        <w:t>6.</w:t>
      </w:r>
      <w:r>
        <w:rPr>
          <w:rFonts w:ascii="宋体" w:hAnsi="宋体" w:hint="eastAsia"/>
          <w:bCs/>
          <w:sz w:val="24"/>
        </w:rPr>
        <w:t>通过资格审查的申请人少于</w:t>
      </w:r>
      <w:r>
        <w:rPr>
          <w:rFonts w:ascii="宋体" w:hAnsi="宋体" w:hint="eastAsia"/>
          <w:bCs/>
          <w:sz w:val="24"/>
        </w:rPr>
        <w:t>2</w:t>
      </w:r>
      <w:r>
        <w:rPr>
          <w:rFonts w:ascii="宋体" w:hAnsi="宋体" w:hint="eastAsia"/>
          <w:bCs/>
          <w:sz w:val="24"/>
        </w:rPr>
        <w:t>人以及拍卖未成交的自动停止拍卖活动或因其它原因拍卖未能进行，保证金由福安市行政服务中心管理委员会退还</w:t>
      </w:r>
      <w:r>
        <w:rPr>
          <w:rFonts w:ascii="宋体" w:hAnsi="宋体" w:hint="eastAsia"/>
          <w:bCs/>
          <w:sz w:val="24"/>
        </w:rPr>
        <w:t>(</w:t>
      </w:r>
      <w:r>
        <w:rPr>
          <w:rFonts w:ascii="宋体" w:hAnsi="宋体" w:hint="eastAsia"/>
          <w:bCs/>
          <w:sz w:val="24"/>
        </w:rPr>
        <w:t>不计息</w:t>
      </w:r>
      <w:r>
        <w:rPr>
          <w:rFonts w:ascii="宋体" w:hAnsi="宋体" w:hint="eastAsia"/>
          <w:bCs/>
          <w:sz w:val="24"/>
        </w:rPr>
        <w:t>)</w:t>
      </w:r>
      <w:r>
        <w:rPr>
          <w:rFonts w:ascii="宋体" w:hAnsi="宋体" w:hint="eastAsia"/>
          <w:bCs/>
          <w:sz w:val="24"/>
        </w:rPr>
        <w:t>，竞买人对此不得提出异议。</w:t>
      </w:r>
    </w:p>
    <w:p w:rsidR="00A959EE" w:rsidRDefault="00A959EE" w:rsidP="00A959EE">
      <w:pPr>
        <w:spacing w:line="440" w:lineRule="exact"/>
        <w:ind w:firstLineChars="200" w:firstLine="480"/>
        <w:rPr>
          <w:rFonts w:ascii="宋体" w:hAnsi="宋体" w:hint="eastAsia"/>
          <w:bCs/>
          <w:sz w:val="24"/>
        </w:rPr>
      </w:pPr>
      <w:r>
        <w:rPr>
          <w:rFonts w:ascii="宋体" w:hAnsi="宋体" w:hint="eastAsia"/>
          <w:bCs/>
          <w:sz w:val="24"/>
        </w:rPr>
        <w:t>七、拍卖方式及注意事项：</w:t>
      </w:r>
    </w:p>
    <w:p w:rsidR="00A959EE" w:rsidRDefault="00A959EE" w:rsidP="00A959EE">
      <w:pPr>
        <w:spacing w:line="440" w:lineRule="exact"/>
        <w:ind w:firstLineChars="100" w:firstLine="240"/>
        <w:rPr>
          <w:rFonts w:ascii="宋体" w:hAnsi="宋体" w:hint="eastAsia"/>
          <w:bCs/>
          <w:sz w:val="24"/>
        </w:rPr>
      </w:pPr>
      <w:r>
        <w:rPr>
          <w:rFonts w:ascii="宋体" w:hAnsi="宋体" w:hint="eastAsia"/>
          <w:bCs/>
          <w:sz w:val="24"/>
        </w:rPr>
        <w:t>（一）</w:t>
      </w:r>
      <w:r>
        <w:rPr>
          <w:rFonts w:ascii="宋体" w:hAnsi="宋体" w:cs="宋体" w:hint="eastAsia"/>
          <w:bCs/>
          <w:sz w:val="24"/>
        </w:rPr>
        <w:t>本次</w:t>
      </w:r>
      <w:r>
        <w:rPr>
          <w:rFonts w:ascii="宋体" w:hAnsi="宋体" w:cs="宋体" w:hint="eastAsia"/>
          <w:bCs/>
          <w:spacing w:val="-6"/>
          <w:sz w:val="24"/>
        </w:rPr>
        <w:t>国有建设用地使用权拍卖出让采用“限地价</w:t>
      </w:r>
      <w:r>
        <w:rPr>
          <w:rFonts w:ascii="宋体" w:hAnsi="宋体" w:cs="宋体" w:hint="eastAsia"/>
          <w:bCs/>
          <w:spacing w:val="-6"/>
          <w:sz w:val="24"/>
        </w:rPr>
        <w:t>+</w:t>
      </w:r>
      <w:r>
        <w:rPr>
          <w:rFonts w:ascii="宋体" w:hAnsi="宋体" w:cs="宋体" w:hint="eastAsia"/>
          <w:bCs/>
          <w:spacing w:val="-6"/>
          <w:sz w:val="24"/>
        </w:rPr>
        <w:t>竞配建”方式拍卖出让。本次拍卖起叫价</w:t>
      </w:r>
      <w:r>
        <w:rPr>
          <w:rFonts w:ascii="宋体" w:hAnsi="宋体" w:cs="宋体" w:hint="eastAsia"/>
          <w:bCs/>
          <w:spacing w:val="-6"/>
          <w:sz w:val="24"/>
        </w:rPr>
        <w:t>11300</w:t>
      </w:r>
      <w:r>
        <w:rPr>
          <w:rFonts w:ascii="宋体" w:hAnsi="宋体" w:cs="宋体" w:hint="eastAsia"/>
          <w:bCs/>
          <w:spacing w:val="-6"/>
          <w:sz w:val="24"/>
        </w:rPr>
        <w:t>万元，加价幅度为</w:t>
      </w:r>
      <w:r>
        <w:rPr>
          <w:rFonts w:ascii="宋体" w:hAnsi="宋体" w:cs="宋体" w:hint="eastAsia"/>
          <w:bCs/>
          <w:spacing w:val="-6"/>
          <w:sz w:val="24"/>
        </w:rPr>
        <w:t>100</w:t>
      </w:r>
      <w:r>
        <w:rPr>
          <w:rFonts w:ascii="宋体" w:hAnsi="宋体" w:cs="宋体" w:hint="eastAsia"/>
          <w:bCs/>
          <w:spacing w:val="-6"/>
          <w:sz w:val="24"/>
        </w:rPr>
        <w:t>万元及其整数倍，最高限制地价为</w:t>
      </w:r>
      <w:r>
        <w:rPr>
          <w:rFonts w:ascii="宋体" w:hAnsi="宋体" w:cs="宋体" w:hint="eastAsia"/>
          <w:bCs/>
          <w:spacing w:val="-6"/>
          <w:sz w:val="24"/>
        </w:rPr>
        <w:t>16900</w:t>
      </w:r>
      <w:r>
        <w:rPr>
          <w:rFonts w:ascii="宋体" w:hAnsi="宋体" w:cs="宋体" w:hint="eastAsia"/>
          <w:bCs/>
          <w:spacing w:val="-6"/>
          <w:sz w:val="24"/>
        </w:rPr>
        <w:t>万元。</w:t>
      </w:r>
      <w:r>
        <w:rPr>
          <w:rFonts w:ascii="宋体" w:hAnsi="宋体" w:cs="宋体" w:hint="eastAsia"/>
          <w:sz w:val="24"/>
        </w:rPr>
        <w:t>当竞买人报价均低于最高限制地价时，采取价高者得的方式确定竞得人；当竞买人报价达到总价限价时，不再接受更高报价，有其他竞买人举牌表示愿意接受总价限价竞买该宗地的，则</w:t>
      </w:r>
      <w:r>
        <w:rPr>
          <w:rFonts w:ascii="宋体" w:hAnsi="宋体" w:hint="eastAsia"/>
          <w:sz w:val="24"/>
        </w:rPr>
        <w:t>竞价转为竞报无偿移交政府的住宅建筑面积，每次竞报无偿移交住宅建筑面积为</w:t>
      </w:r>
      <w:r>
        <w:rPr>
          <w:rFonts w:ascii="宋体" w:hAnsi="宋体" w:hint="eastAsia"/>
          <w:sz w:val="24"/>
        </w:rPr>
        <w:t>100</w:t>
      </w:r>
      <w:r>
        <w:rPr>
          <w:rFonts w:ascii="宋体" w:hAnsi="宋体" w:hint="eastAsia"/>
          <w:sz w:val="24"/>
        </w:rPr>
        <w:t>平方米及其整数倍，竞报无偿移交面积最高者为竞得人，达到竞报住宅建筑面积上限</w:t>
      </w:r>
      <w:r>
        <w:rPr>
          <w:rFonts w:ascii="宋体" w:hAnsi="宋体" w:hint="eastAsia"/>
          <w:sz w:val="24"/>
        </w:rPr>
        <w:t>1500</w:t>
      </w:r>
      <w:r>
        <w:rPr>
          <w:rFonts w:ascii="宋体" w:hAnsi="宋体" w:hint="eastAsia"/>
          <w:sz w:val="24"/>
        </w:rPr>
        <w:t>平方米后采取摇号方式确定竞得人。无偿移交的住宅建筑面积需位于同栋同梯位的</w:t>
      </w:r>
      <w:r>
        <w:rPr>
          <w:rFonts w:ascii="宋体" w:hAnsi="宋体" w:hint="eastAsia"/>
          <w:sz w:val="24"/>
        </w:rPr>
        <w:t>2</w:t>
      </w:r>
      <w:r>
        <w:rPr>
          <w:rFonts w:ascii="宋体" w:hAnsi="宋体" w:hint="eastAsia"/>
          <w:sz w:val="24"/>
        </w:rPr>
        <w:t>层及以上，户型为</w:t>
      </w:r>
      <w:r>
        <w:rPr>
          <w:rFonts w:ascii="宋体" w:hAnsi="宋体" w:hint="eastAsia"/>
          <w:sz w:val="24"/>
        </w:rPr>
        <w:t>70</w:t>
      </w:r>
      <w:r>
        <w:rPr>
          <w:rFonts w:ascii="宋体" w:hAnsi="宋体" w:hint="eastAsia"/>
          <w:sz w:val="24"/>
        </w:rPr>
        <w:t>平方米至</w:t>
      </w:r>
      <w:r>
        <w:rPr>
          <w:rFonts w:ascii="宋体" w:hAnsi="宋体" w:hint="eastAsia"/>
          <w:sz w:val="24"/>
        </w:rPr>
        <w:t>120</w:t>
      </w:r>
      <w:r>
        <w:rPr>
          <w:rFonts w:ascii="宋体" w:hAnsi="宋体" w:hint="eastAsia"/>
          <w:sz w:val="24"/>
        </w:rPr>
        <w:t>平方米，竞买人需在项目第一期先行建设移交的</w:t>
      </w:r>
      <w:r>
        <w:rPr>
          <w:rFonts w:ascii="宋体" w:hAnsi="宋体" w:hint="eastAsia"/>
          <w:sz w:val="24"/>
        </w:rPr>
        <w:lastRenderedPageBreak/>
        <w:t>住宅，在交地后</w:t>
      </w:r>
      <w:r>
        <w:rPr>
          <w:rFonts w:ascii="宋体" w:hAnsi="宋体" w:hint="eastAsia"/>
          <w:sz w:val="24"/>
        </w:rPr>
        <w:t>36</w:t>
      </w:r>
      <w:r>
        <w:rPr>
          <w:rFonts w:ascii="宋体" w:hAnsi="宋体" w:hint="eastAsia"/>
          <w:sz w:val="24"/>
        </w:rPr>
        <w:t>个月内完成竣工验收，并在第一期商品住房交房的同时同步移交政府，税费由竞得人负责。竞买人未能按照约定日期完成竣工验收或移交政府的，每延期一日，应向出让人支付相当于无偿移交的住宅总价款（按预售备案价格计算）</w:t>
      </w:r>
      <w:r>
        <w:rPr>
          <w:rFonts w:ascii="宋体" w:hAnsi="宋体" w:hint="eastAsia"/>
          <w:sz w:val="24"/>
        </w:rPr>
        <w:t>0.1</w:t>
      </w:r>
      <w:r>
        <w:rPr>
          <w:rFonts w:ascii="宋体" w:hAnsi="宋体" w:hint="eastAsia"/>
          <w:sz w:val="24"/>
        </w:rPr>
        <w:t>‰的违约金。竞得人应以套为单位移交，实际移交的建筑面积应不低于竞报面积且尽量接近，多出竞报面积的部分按预售备案价格进行结算。</w:t>
      </w:r>
    </w:p>
    <w:p w:rsidR="00A959EE" w:rsidRDefault="00A959EE" w:rsidP="00A959EE">
      <w:pPr>
        <w:spacing w:line="440" w:lineRule="exact"/>
        <w:ind w:firstLineChars="200" w:firstLine="480"/>
        <w:rPr>
          <w:rFonts w:ascii="宋体" w:hAnsi="宋体" w:hint="eastAsia"/>
          <w:bCs/>
          <w:sz w:val="24"/>
        </w:rPr>
      </w:pPr>
      <w:r>
        <w:rPr>
          <w:rFonts w:ascii="宋体" w:hAnsi="宋体" w:hint="eastAsia"/>
          <w:bCs/>
          <w:sz w:val="24"/>
        </w:rPr>
        <w:t>现场竞拍程序说明如下：</w:t>
      </w:r>
    </w:p>
    <w:p w:rsidR="00A959EE" w:rsidRDefault="00A959EE" w:rsidP="00A959EE">
      <w:pPr>
        <w:spacing w:line="440" w:lineRule="exact"/>
        <w:ind w:firstLineChars="200" w:firstLine="480"/>
        <w:rPr>
          <w:rFonts w:ascii="宋体" w:hAnsi="宋体" w:hint="eastAsia"/>
          <w:bCs/>
          <w:sz w:val="24"/>
        </w:rPr>
      </w:pPr>
      <w:r>
        <w:rPr>
          <w:rFonts w:ascii="宋体" w:hAnsi="宋体" w:hint="eastAsia"/>
          <w:bCs/>
          <w:sz w:val="24"/>
        </w:rPr>
        <w:t>第一阶段</w:t>
      </w:r>
      <w:r>
        <w:rPr>
          <w:rFonts w:ascii="宋体" w:hAnsi="宋体" w:hint="eastAsia"/>
          <w:bCs/>
          <w:sz w:val="24"/>
        </w:rPr>
        <w:t xml:space="preserve">  </w:t>
      </w:r>
      <w:r>
        <w:rPr>
          <w:rFonts w:ascii="宋体" w:hAnsi="宋体" w:hint="eastAsia"/>
          <w:bCs/>
          <w:sz w:val="24"/>
        </w:rPr>
        <w:t>竞价过程</w:t>
      </w:r>
    </w:p>
    <w:p w:rsidR="00A959EE" w:rsidRDefault="00A959EE" w:rsidP="00A959EE">
      <w:pPr>
        <w:spacing w:line="440" w:lineRule="exact"/>
        <w:ind w:firstLineChars="200" w:firstLine="480"/>
        <w:rPr>
          <w:rFonts w:ascii="宋体" w:hAnsi="宋体" w:hint="eastAsia"/>
          <w:bCs/>
          <w:sz w:val="24"/>
        </w:rPr>
      </w:pPr>
      <w:r>
        <w:rPr>
          <w:rFonts w:ascii="宋体" w:hAnsi="宋体" w:hint="eastAsia"/>
          <w:bCs/>
          <w:sz w:val="24"/>
        </w:rPr>
        <w:t>⑴若竞买人报价不超过最高限制地价（总价限价）但不低于保留底价，且未有其他竞买人竞买的，按照价高者得原则确定竞得人。拍卖会实行增价式拍卖方式，即拍卖师报出起叫价后，竞买人须按照拍卖师宣布的加价幅度或加价幅度的整倍数以举牌形式或口头形式（须同时举牌）应价或报价竞买，否则报价无效。拍卖师连续三次宣布同一应价或者报价而没有竞买人再应价或者报价的，拍卖师落槌表示拍卖成交，并宣布最高应价者为竞得人。最高应价或报价低于保留底价的，拍卖师宣布拍卖中止。成交结果对拍卖人、竞得人和出让人均具有法律效力。</w:t>
      </w:r>
    </w:p>
    <w:p w:rsidR="00A959EE" w:rsidRDefault="00A959EE" w:rsidP="00A959EE">
      <w:pPr>
        <w:spacing w:line="440" w:lineRule="exact"/>
        <w:ind w:firstLineChars="200" w:firstLine="480"/>
        <w:rPr>
          <w:rFonts w:ascii="宋体" w:hAnsi="宋体" w:hint="eastAsia"/>
          <w:bCs/>
          <w:sz w:val="24"/>
        </w:rPr>
      </w:pPr>
      <w:r>
        <w:rPr>
          <w:rFonts w:ascii="宋体" w:hAnsi="宋体" w:hint="eastAsia"/>
          <w:bCs/>
          <w:sz w:val="24"/>
        </w:rPr>
        <w:t>（</w:t>
      </w:r>
      <w:r>
        <w:rPr>
          <w:rFonts w:ascii="宋体" w:hAnsi="宋体" w:hint="eastAsia"/>
          <w:bCs/>
          <w:sz w:val="24"/>
        </w:rPr>
        <w:t>2</w:t>
      </w:r>
      <w:r>
        <w:rPr>
          <w:rFonts w:ascii="宋体" w:hAnsi="宋体" w:hint="eastAsia"/>
          <w:bCs/>
          <w:sz w:val="24"/>
        </w:rPr>
        <w:t>）若有一位竞买人报价达到最高限制地价（总价限价）时，拍卖师现场询问“是否还有其他竞买人举牌愿意接受最高限制地价（总价限价）”，</w:t>
      </w:r>
      <w:r>
        <w:rPr>
          <w:rFonts w:ascii="宋体" w:hAnsi="宋体" w:hint="eastAsia"/>
          <w:bCs/>
          <w:sz w:val="24"/>
        </w:rPr>
        <w:t xml:space="preserve"> </w:t>
      </w:r>
      <w:r>
        <w:rPr>
          <w:rFonts w:ascii="宋体" w:hAnsi="宋体" w:hint="eastAsia"/>
          <w:bCs/>
          <w:sz w:val="24"/>
        </w:rPr>
        <w:t>①如果没有其他竞买人愿意接受最高限制地价（总价限价）</w:t>
      </w:r>
      <w:r>
        <w:rPr>
          <w:rFonts w:ascii="宋体" w:hAnsi="宋体" w:hint="eastAsia"/>
          <w:bCs/>
          <w:sz w:val="24"/>
        </w:rPr>
        <w:t>[</w:t>
      </w:r>
      <w:r>
        <w:rPr>
          <w:rFonts w:ascii="宋体" w:hAnsi="宋体" w:hint="eastAsia"/>
          <w:bCs/>
          <w:sz w:val="24"/>
        </w:rPr>
        <w:t>以举牌形式或口头形式（须同时举牌）表示</w:t>
      </w:r>
      <w:r>
        <w:rPr>
          <w:rFonts w:ascii="宋体" w:hAnsi="宋体" w:hint="eastAsia"/>
          <w:bCs/>
          <w:sz w:val="24"/>
        </w:rPr>
        <w:t>]</w:t>
      </w:r>
      <w:r>
        <w:rPr>
          <w:rFonts w:ascii="宋体" w:hAnsi="宋体" w:hint="eastAsia"/>
          <w:bCs/>
          <w:sz w:val="24"/>
        </w:rPr>
        <w:t>时，拍卖师连续三次宣布同一最高限制地价（总价限价），而没有其他竞买人接受最高限制地价（总价限价）的，拍卖师落槌表示拍卖成交，则该位应价最高限制地价（总价限价）的竞买人即为该地块的竞得人；②如果有其他竞买人愿意接受最高限制地价（总价限价）</w:t>
      </w:r>
      <w:r>
        <w:rPr>
          <w:rFonts w:ascii="宋体" w:hAnsi="宋体" w:hint="eastAsia"/>
          <w:bCs/>
          <w:sz w:val="24"/>
        </w:rPr>
        <w:t>[</w:t>
      </w:r>
      <w:r>
        <w:rPr>
          <w:rFonts w:ascii="宋体" w:hAnsi="宋体" w:hint="eastAsia"/>
          <w:bCs/>
          <w:sz w:val="24"/>
        </w:rPr>
        <w:t>以举牌形式或口头形式（须同时举牌）表示</w:t>
      </w:r>
      <w:r>
        <w:rPr>
          <w:rFonts w:ascii="宋体" w:hAnsi="宋体" w:hint="eastAsia"/>
          <w:bCs/>
          <w:sz w:val="24"/>
        </w:rPr>
        <w:t>]</w:t>
      </w:r>
      <w:r>
        <w:rPr>
          <w:rFonts w:ascii="宋体" w:hAnsi="宋体" w:hint="eastAsia"/>
          <w:bCs/>
          <w:sz w:val="24"/>
        </w:rPr>
        <w:t>时，拍卖方式转为竞报无偿移交政府的保障性住房面积。特别说明：第一阶段“竞价过程”中，报价未达到最高限制地价的竞买人视为自动放弃，不得参与第二阶段“竞报无偿移交政府的保障性住房面积”。</w:t>
      </w:r>
    </w:p>
    <w:p w:rsidR="00A959EE" w:rsidRDefault="00A959EE" w:rsidP="00A959EE">
      <w:pPr>
        <w:spacing w:line="440" w:lineRule="exact"/>
        <w:ind w:firstLineChars="200" w:firstLine="480"/>
        <w:rPr>
          <w:rFonts w:ascii="宋体" w:hAnsi="宋体" w:hint="eastAsia"/>
          <w:bCs/>
          <w:sz w:val="24"/>
        </w:rPr>
      </w:pPr>
      <w:r>
        <w:rPr>
          <w:rFonts w:ascii="宋体" w:hAnsi="宋体" w:hint="eastAsia"/>
          <w:bCs/>
          <w:sz w:val="24"/>
        </w:rPr>
        <w:t>第二阶段</w:t>
      </w:r>
      <w:r>
        <w:rPr>
          <w:rFonts w:ascii="宋体" w:hAnsi="宋体" w:hint="eastAsia"/>
          <w:bCs/>
          <w:sz w:val="24"/>
        </w:rPr>
        <w:t xml:space="preserve">  </w:t>
      </w:r>
      <w:r>
        <w:rPr>
          <w:rFonts w:ascii="宋体" w:hAnsi="宋体" w:hint="eastAsia"/>
          <w:bCs/>
          <w:sz w:val="24"/>
        </w:rPr>
        <w:t>竞报无偿移交政府的保障性住房面积</w:t>
      </w:r>
    </w:p>
    <w:p w:rsidR="00A959EE" w:rsidRDefault="00A959EE" w:rsidP="00A959EE">
      <w:pPr>
        <w:spacing w:line="440" w:lineRule="exact"/>
        <w:ind w:firstLineChars="200" w:firstLine="480"/>
        <w:rPr>
          <w:rFonts w:ascii="宋体" w:hAnsi="宋体" w:hint="eastAsia"/>
          <w:bCs/>
          <w:sz w:val="24"/>
        </w:rPr>
      </w:pPr>
      <w:r>
        <w:rPr>
          <w:rFonts w:ascii="宋体" w:hAnsi="宋体" w:hint="eastAsia"/>
          <w:bCs/>
          <w:sz w:val="24"/>
        </w:rPr>
        <w:lastRenderedPageBreak/>
        <w:t>（</w:t>
      </w:r>
      <w:r>
        <w:rPr>
          <w:rFonts w:ascii="宋体" w:hAnsi="宋体" w:hint="eastAsia"/>
          <w:bCs/>
          <w:sz w:val="24"/>
        </w:rPr>
        <w:t>1</w:t>
      </w:r>
      <w:r>
        <w:rPr>
          <w:rFonts w:ascii="宋体" w:hAnsi="宋体" w:hint="eastAsia"/>
          <w:bCs/>
          <w:sz w:val="24"/>
        </w:rPr>
        <w:t>）参与竞报无偿移交政府的保障性住房面积。拍卖师报出起叫价后，竞买人以举牌形式或口头形式（须同时举牌）应价或报价竞买，每次最低竞价幅度为</w:t>
      </w:r>
      <w:r>
        <w:rPr>
          <w:rFonts w:ascii="宋体" w:hAnsi="宋体" w:hint="eastAsia"/>
          <w:bCs/>
          <w:sz w:val="24"/>
        </w:rPr>
        <w:t>100</w:t>
      </w:r>
      <w:r>
        <w:rPr>
          <w:rFonts w:ascii="宋体" w:hAnsi="宋体" w:hint="eastAsia"/>
          <w:bCs/>
          <w:sz w:val="24"/>
        </w:rPr>
        <w:t>平方米及其整数倍，否则报价无效。当报价未达到最高无偿移交保障性住房面积时，拍卖师连续三次宣布同一应价或者报价，而没有其他竞买人再应价或者报价的，拍卖师落槌表示拍卖成交，拍卖一经成交，不得反悔。</w:t>
      </w:r>
    </w:p>
    <w:p w:rsidR="00A959EE" w:rsidRDefault="00A959EE" w:rsidP="00A959EE">
      <w:pPr>
        <w:spacing w:line="440" w:lineRule="exact"/>
        <w:ind w:firstLineChars="200" w:firstLine="480"/>
        <w:rPr>
          <w:rFonts w:ascii="宋体" w:hAnsi="宋体" w:hint="eastAsia"/>
          <w:bCs/>
          <w:sz w:val="24"/>
        </w:rPr>
      </w:pPr>
      <w:r>
        <w:rPr>
          <w:rFonts w:ascii="宋体" w:hAnsi="宋体" w:hint="eastAsia"/>
          <w:bCs/>
          <w:sz w:val="24"/>
        </w:rPr>
        <w:t>（</w:t>
      </w:r>
      <w:r>
        <w:rPr>
          <w:rFonts w:ascii="宋体" w:hAnsi="宋体" w:hint="eastAsia"/>
          <w:bCs/>
          <w:sz w:val="24"/>
        </w:rPr>
        <w:t>2</w:t>
      </w:r>
      <w:r>
        <w:rPr>
          <w:rFonts w:ascii="宋体" w:hAnsi="宋体" w:hint="eastAsia"/>
          <w:bCs/>
          <w:sz w:val="24"/>
        </w:rPr>
        <w:t>）若有一位竞买人报价达到最高无偿移交保障性住房面积时，拍卖师现场询问“是否还有其他竞买人举牌愿意接受最高无偿移交保障性住房面积”，①如果没有其他竞买人愿意接受最高无偿移交保障性住房面积</w:t>
      </w:r>
      <w:r>
        <w:rPr>
          <w:rFonts w:ascii="宋体" w:hAnsi="宋体" w:hint="eastAsia"/>
          <w:bCs/>
          <w:sz w:val="24"/>
        </w:rPr>
        <w:t>[</w:t>
      </w:r>
      <w:r>
        <w:rPr>
          <w:rFonts w:ascii="宋体" w:hAnsi="宋体" w:hint="eastAsia"/>
          <w:bCs/>
          <w:sz w:val="24"/>
        </w:rPr>
        <w:t>以举牌形式或口头形式（须同时举牌）表示</w:t>
      </w:r>
      <w:r>
        <w:rPr>
          <w:rFonts w:ascii="宋体" w:hAnsi="宋体" w:hint="eastAsia"/>
          <w:bCs/>
          <w:sz w:val="24"/>
        </w:rPr>
        <w:t>]</w:t>
      </w:r>
      <w:r>
        <w:rPr>
          <w:rFonts w:ascii="宋体" w:hAnsi="宋体" w:hint="eastAsia"/>
          <w:bCs/>
          <w:sz w:val="24"/>
        </w:rPr>
        <w:t>时，拍卖师连续三次宣布同一最高无偿移交保障性住房面积，而没有其他竞买人接受最高无偿移交面积的，拍卖师落槌表示拍卖成交，则该位应价最高无偿移交保障性住房面积的竞买人即为该地块的竞得人；②如果有其他竞买人愿意接受最高无偿移交保障性住房面积</w:t>
      </w:r>
      <w:r>
        <w:rPr>
          <w:rFonts w:ascii="宋体" w:hAnsi="宋体" w:hint="eastAsia"/>
          <w:bCs/>
          <w:sz w:val="24"/>
        </w:rPr>
        <w:t>[</w:t>
      </w:r>
      <w:r>
        <w:rPr>
          <w:rFonts w:ascii="宋体" w:hAnsi="宋体" w:hint="eastAsia"/>
          <w:bCs/>
          <w:sz w:val="24"/>
        </w:rPr>
        <w:t>以举牌形式或口头形式（须同时举牌）表示</w:t>
      </w:r>
      <w:r>
        <w:rPr>
          <w:rFonts w:ascii="宋体" w:hAnsi="宋体" w:hint="eastAsia"/>
          <w:bCs/>
          <w:sz w:val="24"/>
        </w:rPr>
        <w:t>]</w:t>
      </w:r>
      <w:r>
        <w:rPr>
          <w:rFonts w:ascii="宋体" w:hAnsi="宋体" w:hint="eastAsia"/>
          <w:bCs/>
          <w:sz w:val="24"/>
        </w:rPr>
        <w:t>时，拍卖方式转入摇号方式。</w:t>
      </w:r>
    </w:p>
    <w:p w:rsidR="00A959EE" w:rsidRDefault="00A959EE" w:rsidP="00A959EE">
      <w:pPr>
        <w:spacing w:line="440" w:lineRule="exact"/>
        <w:ind w:firstLineChars="200" w:firstLine="480"/>
        <w:rPr>
          <w:rFonts w:ascii="宋体" w:hAnsi="宋体" w:hint="eastAsia"/>
          <w:bCs/>
          <w:sz w:val="24"/>
        </w:rPr>
      </w:pPr>
      <w:r>
        <w:rPr>
          <w:rFonts w:ascii="宋体" w:hAnsi="宋体" w:hint="eastAsia"/>
          <w:bCs/>
          <w:sz w:val="24"/>
        </w:rPr>
        <w:t>第三阶段</w:t>
      </w:r>
      <w:r>
        <w:rPr>
          <w:rFonts w:ascii="宋体" w:hAnsi="宋体" w:hint="eastAsia"/>
          <w:bCs/>
          <w:sz w:val="24"/>
        </w:rPr>
        <w:t xml:space="preserve">  </w:t>
      </w:r>
      <w:r>
        <w:rPr>
          <w:rFonts w:ascii="宋体" w:hAnsi="宋体" w:hint="eastAsia"/>
          <w:bCs/>
          <w:sz w:val="24"/>
        </w:rPr>
        <w:t>摇号方式</w:t>
      </w:r>
    </w:p>
    <w:p w:rsidR="00A959EE" w:rsidRDefault="00A959EE" w:rsidP="00A959EE">
      <w:pPr>
        <w:spacing w:line="440" w:lineRule="exact"/>
        <w:ind w:firstLineChars="200" w:firstLine="480"/>
        <w:rPr>
          <w:rFonts w:ascii="宋体" w:hAnsi="宋体" w:hint="eastAsia"/>
          <w:bCs/>
          <w:sz w:val="24"/>
        </w:rPr>
      </w:pPr>
      <w:r>
        <w:rPr>
          <w:rFonts w:ascii="宋体" w:hAnsi="宋体" w:hint="eastAsia"/>
          <w:bCs/>
          <w:sz w:val="24"/>
        </w:rPr>
        <w:t>（</w:t>
      </w:r>
      <w:r>
        <w:rPr>
          <w:rFonts w:ascii="宋体" w:hAnsi="宋体" w:hint="eastAsia"/>
          <w:bCs/>
          <w:sz w:val="24"/>
        </w:rPr>
        <w:t>1</w:t>
      </w:r>
      <w:r>
        <w:rPr>
          <w:rFonts w:ascii="宋体" w:hAnsi="宋体" w:hint="eastAsia"/>
          <w:bCs/>
          <w:sz w:val="24"/>
        </w:rPr>
        <w:t>）请接受最高无偿移交保障性住房面积的竞买人移步至拍卖会大厅前区（</w:t>
      </w:r>
      <w:r>
        <w:rPr>
          <w:rFonts w:ascii="宋体" w:hAnsi="宋体" w:hint="eastAsia"/>
          <w:bCs/>
          <w:sz w:val="24"/>
        </w:rPr>
        <w:t>1</w:t>
      </w:r>
      <w:r>
        <w:rPr>
          <w:rFonts w:ascii="宋体" w:hAnsi="宋体" w:hint="eastAsia"/>
          <w:bCs/>
          <w:sz w:val="24"/>
        </w:rPr>
        <w:t>至</w:t>
      </w:r>
      <w:r>
        <w:rPr>
          <w:rFonts w:ascii="宋体" w:hAnsi="宋体" w:hint="eastAsia"/>
          <w:bCs/>
          <w:sz w:val="24"/>
        </w:rPr>
        <w:t xml:space="preserve"> 3</w:t>
      </w:r>
      <w:r>
        <w:rPr>
          <w:rFonts w:ascii="宋体" w:hAnsi="宋体" w:hint="eastAsia"/>
          <w:bCs/>
          <w:sz w:val="24"/>
        </w:rPr>
        <w:t>排，视参与摇号竞买人人数再调整）就座，现场填写提交《参与摇号确认表》。特别说明：第二阶段报价未达到最高无偿移交保障性住房面积的竞买人视为自动放弃，不得参与第三阶段“摇号”。</w:t>
      </w:r>
    </w:p>
    <w:p w:rsidR="00A959EE" w:rsidRDefault="00A959EE" w:rsidP="00A959EE">
      <w:pPr>
        <w:spacing w:line="440" w:lineRule="exact"/>
        <w:ind w:firstLineChars="200" w:firstLine="480"/>
        <w:rPr>
          <w:rFonts w:ascii="宋体" w:hAnsi="宋体" w:hint="eastAsia"/>
          <w:bCs/>
          <w:sz w:val="24"/>
        </w:rPr>
      </w:pPr>
      <w:r>
        <w:rPr>
          <w:rFonts w:ascii="宋体" w:hAnsi="宋体" w:hint="eastAsia"/>
          <w:bCs/>
          <w:sz w:val="24"/>
        </w:rPr>
        <w:t>（</w:t>
      </w:r>
      <w:r>
        <w:rPr>
          <w:rFonts w:ascii="宋体" w:hAnsi="宋体" w:hint="eastAsia"/>
          <w:bCs/>
          <w:sz w:val="24"/>
        </w:rPr>
        <w:t>2</w:t>
      </w:r>
      <w:r>
        <w:rPr>
          <w:rFonts w:ascii="宋体" w:hAnsi="宋体" w:hint="eastAsia"/>
          <w:bCs/>
          <w:sz w:val="24"/>
        </w:rPr>
        <w:t>）摇号设备进行试机，拍卖工作人员随机抽取</w:t>
      </w:r>
      <w:r>
        <w:rPr>
          <w:rFonts w:ascii="宋体" w:hAnsi="宋体" w:hint="eastAsia"/>
          <w:bCs/>
          <w:sz w:val="24"/>
        </w:rPr>
        <w:t>10</w:t>
      </w:r>
      <w:r>
        <w:rPr>
          <w:rFonts w:ascii="宋体" w:hAnsi="宋体" w:hint="eastAsia"/>
          <w:bCs/>
          <w:sz w:val="24"/>
        </w:rPr>
        <w:t>个乒乓号码球</w:t>
      </w:r>
      <w:r>
        <w:rPr>
          <w:rFonts w:ascii="宋体" w:hAnsi="宋体" w:hint="eastAsia"/>
          <w:bCs/>
          <w:sz w:val="24"/>
        </w:rPr>
        <w:t>(</w:t>
      </w:r>
      <w:r>
        <w:rPr>
          <w:rFonts w:ascii="宋体" w:hAnsi="宋体" w:hint="eastAsia"/>
          <w:bCs/>
          <w:sz w:val="24"/>
        </w:rPr>
        <w:t>球号与参加摇号竞买人的号牌数字不一致</w:t>
      </w:r>
      <w:r>
        <w:rPr>
          <w:rFonts w:ascii="宋体" w:hAnsi="宋体" w:hint="eastAsia"/>
          <w:bCs/>
          <w:sz w:val="24"/>
        </w:rPr>
        <w:t>)</w:t>
      </w:r>
      <w:r>
        <w:rPr>
          <w:rFonts w:ascii="宋体" w:hAnsi="宋体" w:hint="eastAsia"/>
          <w:bCs/>
          <w:sz w:val="24"/>
        </w:rPr>
        <w:t>放入摇号机并邀请两位参与摇号的竞买人上台试运行机器运行状况，摇号机试机正常后，拍卖工作人员将</w:t>
      </w:r>
      <w:r>
        <w:rPr>
          <w:rFonts w:ascii="宋体" w:hAnsi="宋体" w:hint="eastAsia"/>
          <w:bCs/>
          <w:sz w:val="24"/>
        </w:rPr>
        <w:t>10</w:t>
      </w:r>
      <w:r>
        <w:rPr>
          <w:rFonts w:ascii="宋体" w:hAnsi="宋体" w:hint="eastAsia"/>
          <w:bCs/>
          <w:sz w:val="24"/>
        </w:rPr>
        <w:t>个乒乓号码球取出放回原处。</w:t>
      </w:r>
    </w:p>
    <w:p w:rsidR="00A959EE" w:rsidRDefault="00A959EE" w:rsidP="00A959EE">
      <w:pPr>
        <w:spacing w:line="440" w:lineRule="exact"/>
        <w:ind w:firstLineChars="200" w:firstLine="480"/>
        <w:rPr>
          <w:rFonts w:ascii="宋体" w:hAnsi="宋体" w:hint="eastAsia"/>
          <w:bCs/>
          <w:sz w:val="24"/>
        </w:rPr>
      </w:pPr>
      <w:r>
        <w:rPr>
          <w:rFonts w:ascii="宋体" w:hAnsi="宋体" w:hint="eastAsia"/>
          <w:bCs/>
          <w:sz w:val="24"/>
        </w:rPr>
        <w:t>（</w:t>
      </w:r>
      <w:r>
        <w:rPr>
          <w:rFonts w:ascii="宋体" w:hAnsi="宋体" w:hint="eastAsia"/>
          <w:bCs/>
          <w:sz w:val="24"/>
        </w:rPr>
        <w:t>3</w:t>
      </w:r>
      <w:r>
        <w:rPr>
          <w:rFonts w:ascii="宋体" w:hAnsi="宋体" w:hint="eastAsia"/>
          <w:bCs/>
          <w:sz w:val="24"/>
        </w:rPr>
        <w:t>）正式摇号确定竞得人</w:t>
      </w:r>
    </w:p>
    <w:p w:rsidR="00A959EE" w:rsidRDefault="00A959EE" w:rsidP="00A959EE">
      <w:pPr>
        <w:spacing w:line="440" w:lineRule="exact"/>
        <w:ind w:firstLineChars="200" w:firstLine="480"/>
        <w:rPr>
          <w:rFonts w:ascii="宋体" w:hAnsi="宋体" w:hint="eastAsia"/>
          <w:bCs/>
          <w:sz w:val="24"/>
        </w:rPr>
      </w:pPr>
      <w:r>
        <w:rPr>
          <w:rFonts w:ascii="宋体" w:hAnsi="宋体" w:hint="eastAsia"/>
          <w:bCs/>
          <w:sz w:val="24"/>
        </w:rPr>
        <w:t>①拍卖工作人员随机将摇号竞买人人数的双倍乒乓号码球</w:t>
      </w:r>
      <w:r>
        <w:rPr>
          <w:rFonts w:ascii="宋体" w:hAnsi="宋体" w:hint="eastAsia"/>
          <w:bCs/>
          <w:sz w:val="24"/>
        </w:rPr>
        <w:t>(</w:t>
      </w:r>
      <w:r>
        <w:rPr>
          <w:rFonts w:ascii="宋体" w:hAnsi="宋体" w:hint="eastAsia"/>
          <w:bCs/>
          <w:sz w:val="24"/>
        </w:rPr>
        <w:t>视参与摇号竞买人人数再调整</w:t>
      </w:r>
      <w:r>
        <w:rPr>
          <w:rFonts w:ascii="宋体" w:hAnsi="宋体" w:hint="eastAsia"/>
          <w:bCs/>
          <w:sz w:val="24"/>
        </w:rPr>
        <w:t>)</w:t>
      </w:r>
      <w:r>
        <w:rPr>
          <w:rFonts w:ascii="宋体" w:hAnsi="宋体" w:hint="eastAsia"/>
          <w:bCs/>
          <w:sz w:val="24"/>
        </w:rPr>
        <w:t>放入摇号机。由拍卖师宣布“开始摇号”，接着由竞买人按各自所持拍卖号牌从小到大顺序依次按动摇号机按钮随机摇出一个乒乓号码球，摇出的乒乓号码球即为该所对应竞买人的代表号码球。竞买人确认代表号码球后，在《摇号号码球确认表》上签字确认。②拍卖工作人员将各竞买人所代表的号</w:t>
      </w:r>
      <w:r>
        <w:rPr>
          <w:rFonts w:ascii="宋体" w:hAnsi="宋体" w:hint="eastAsia"/>
          <w:bCs/>
          <w:sz w:val="24"/>
        </w:rPr>
        <w:lastRenderedPageBreak/>
        <w:t>码球放入摇号机，由拍卖师宣布“开始摇号”，接着拍卖工作人员按动摇号机按钮，由摇号机随机摇出</w:t>
      </w:r>
      <w:r>
        <w:rPr>
          <w:rFonts w:ascii="宋体" w:hAnsi="宋体" w:hint="eastAsia"/>
          <w:bCs/>
          <w:sz w:val="24"/>
        </w:rPr>
        <w:t>-</w:t>
      </w:r>
      <w:r>
        <w:rPr>
          <w:rFonts w:ascii="宋体" w:hAnsi="宋体" w:hint="eastAsia"/>
          <w:bCs/>
          <w:sz w:val="24"/>
        </w:rPr>
        <w:t>个乒乓号码球，摇出乒乓号码球所对应的竞买人即为该宗土地的竞得人。</w:t>
      </w:r>
    </w:p>
    <w:p w:rsidR="00A959EE" w:rsidRDefault="00A959EE" w:rsidP="00A959EE">
      <w:pPr>
        <w:spacing w:line="440" w:lineRule="exact"/>
        <w:ind w:firstLineChars="200" w:firstLine="480"/>
        <w:rPr>
          <w:rFonts w:ascii="宋体" w:hAnsi="宋体" w:hint="eastAsia"/>
          <w:bCs/>
          <w:sz w:val="24"/>
        </w:rPr>
      </w:pPr>
      <w:r>
        <w:rPr>
          <w:rFonts w:ascii="宋体" w:hAnsi="宋体" w:hint="eastAsia"/>
          <w:bCs/>
          <w:sz w:val="24"/>
        </w:rPr>
        <w:t>（</w:t>
      </w:r>
      <w:r>
        <w:rPr>
          <w:rFonts w:ascii="宋体" w:hAnsi="宋体" w:hint="eastAsia"/>
          <w:bCs/>
          <w:sz w:val="24"/>
        </w:rPr>
        <w:t>4</w:t>
      </w:r>
      <w:r>
        <w:rPr>
          <w:rFonts w:ascii="宋体" w:hAnsi="宋体" w:hint="eastAsia"/>
          <w:bCs/>
          <w:sz w:val="24"/>
        </w:rPr>
        <w:t>）拍卖师宣布该地块竞得人</w:t>
      </w:r>
    </w:p>
    <w:p w:rsidR="00A959EE" w:rsidRDefault="00A959EE" w:rsidP="00A959EE">
      <w:pPr>
        <w:spacing w:line="440" w:lineRule="exact"/>
        <w:ind w:firstLineChars="200" w:firstLine="480"/>
        <w:rPr>
          <w:rFonts w:ascii="宋体" w:hAnsi="宋体" w:hint="eastAsia"/>
          <w:bCs/>
          <w:sz w:val="24"/>
        </w:rPr>
      </w:pPr>
      <w:r>
        <w:rPr>
          <w:rFonts w:ascii="宋体" w:hAnsi="宋体" w:hint="eastAsia"/>
          <w:bCs/>
          <w:sz w:val="24"/>
        </w:rPr>
        <w:t>（二）注意事项</w:t>
      </w:r>
    </w:p>
    <w:p w:rsidR="00A959EE" w:rsidRDefault="00A959EE" w:rsidP="00A959EE">
      <w:pPr>
        <w:spacing w:line="440" w:lineRule="exact"/>
        <w:ind w:firstLineChars="200" w:firstLine="480"/>
        <w:rPr>
          <w:rFonts w:ascii="宋体" w:hAnsi="宋体" w:hint="eastAsia"/>
          <w:bCs/>
          <w:sz w:val="24"/>
        </w:rPr>
      </w:pPr>
      <w:r>
        <w:rPr>
          <w:rFonts w:ascii="宋体" w:hAnsi="宋体" w:hint="eastAsia"/>
          <w:bCs/>
          <w:sz w:val="24"/>
        </w:rPr>
        <w:t>（</w:t>
      </w:r>
      <w:r>
        <w:rPr>
          <w:rFonts w:ascii="宋体" w:hAnsi="宋体" w:hint="eastAsia"/>
          <w:bCs/>
          <w:sz w:val="24"/>
        </w:rPr>
        <w:t>1</w:t>
      </w:r>
      <w:r>
        <w:rPr>
          <w:rFonts w:ascii="宋体" w:hAnsi="宋体" w:hint="eastAsia"/>
          <w:bCs/>
          <w:sz w:val="24"/>
        </w:rPr>
        <w:t>）号牌说明：竞买人的号牌号码以向拍卖人办理竞买报名手续时所登记的号牌为准。</w:t>
      </w:r>
    </w:p>
    <w:p w:rsidR="00A959EE" w:rsidRDefault="00A959EE" w:rsidP="00A959EE">
      <w:pPr>
        <w:spacing w:line="440" w:lineRule="exact"/>
        <w:ind w:firstLineChars="200" w:firstLine="480"/>
        <w:rPr>
          <w:rFonts w:ascii="宋体" w:hAnsi="宋体" w:hint="eastAsia"/>
          <w:bCs/>
          <w:sz w:val="24"/>
        </w:rPr>
      </w:pPr>
      <w:r>
        <w:rPr>
          <w:rFonts w:ascii="宋体" w:hAnsi="宋体" w:hint="eastAsia"/>
          <w:bCs/>
          <w:sz w:val="24"/>
        </w:rPr>
        <w:t>（</w:t>
      </w:r>
      <w:r>
        <w:rPr>
          <w:rFonts w:ascii="宋体" w:hAnsi="宋体" w:hint="eastAsia"/>
          <w:bCs/>
          <w:sz w:val="24"/>
        </w:rPr>
        <w:t>2</w:t>
      </w:r>
      <w:r>
        <w:rPr>
          <w:rFonts w:ascii="宋体" w:hAnsi="宋体" w:hint="eastAsia"/>
          <w:bCs/>
          <w:sz w:val="24"/>
        </w:rPr>
        <w:t>）摇号说明：①参与第三阶段的竞买人未提交《参与摇号确认表》，按违约处理，已缴纳的竞买保证金不予返还并承担违约责任。②一位受托人不得同时接受两家以上（含两家）竞买人的委托代为参加拍卖会。③拍卖会现场，拍卖师有权拒绝回答任何问题。</w:t>
      </w:r>
    </w:p>
    <w:p w:rsidR="00A959EE" w:rsidRDefault="00A959EE" w:rsidP="00A959EE">
      <w:pPr>
        <w:spacing w:line="440" w:lineRule="exact"/>
        <w:ind w:firstLineChars="200" w:firstLine="480"/>
        <w:rPr>
          <w:rFonts w:ascii="宋体" w:hAnsi="宋体" w:hint="eastAsia"/>
          <w:bCs/>
          <w:sz w:val="24"/>
        </w:rPr>
      </w:pPr>
      <w:r>
        <w:rPr>
          <w:rFonts w:ascii="宋体" w:hAnsi="宋体" w:hint="eastAsia"/>
          <w:bCs/>
          <w:sz w:val="24"/>
        </w:rPr>
        <w:t>（</w:t>
      </w:r>
      <w:r>
        <w:rPr>
          <w:rFonts w:ascii="宋体" w:hAnsi="宋体" w:hint="eastAsia"/>
          <w:bCs/>
          <w:sz w:val="24"/>
        </w:rPr>
        <w:t>3</w:t>
      </w:r>
      <w:r>
        <w:rPr>
          <w:rFonts w:ascii="宋体" w:hAnsi="宋体" w:hint="eastAsia"/>
          <w:bCs/>
          <w:sz w:val="24"/>
        </w:rPr>
        <w:t>）摇号过程中，若出现下列特殊情况，按如下方式处置：</w:t>
      </w:r>
    </w:p>
    <w:p w:rsidR="00A959EE" w:rsidRDefault="00A959EE" w:rsidP="00A959EE">
      <w:pPr>
        <w:spacing w:line="440" w:lineRule="exact"/>
        <w:ind w:firstLineChars="200" w:firstLine="480"/>
        <w:rPr>
          <w:rFonts w:ascii="宋体" w:hAnsi="宋体" w:hint="eastAsia"/>
          <w:bCs/>
          <w:sz w:val="24"/>
        </w:rPr>
      </w:pPr>
      <w:r>
        <w:rPr>
          <w:rFonts w:ascii="宋体" w:hAnsi="宋体" w:hint="eastAsia"/>
          <w:bCs/>
          <w:sz w:val="24"/>
        </w:rPr>
        <w:t>①参与摇号的竞买人数量超过摇号机所配套的号码球数量，则由拍卖师宣布暂停摇号，待摇号活动可以正常进行时再继续，具体的时间以拍卖人通知的时间为准。</w:t>
      </w:r>
    </w:p>
    <w:p w:rsidR="00A959EE" w:rsidRDefault="00A959EE" w:rsidP="00A959EE">
      <w:pPr>
        <w:spacing w:line="440" w:lineRule="exact"/>
        <w:ind w:firstLineChars="200" w:firstLine="480"/>
        <w:rPr>
          <w:rFonts w:ascii="宋体" w:hAnsi="宋体" w:hint="eastAsia"/>
          <w:bCs/>
          <w:sz w:val="24"/>
        </w:rPr>
      </w:pPr>
      <w:r>
        <w:rPr>
          <w:rFonts w:ascii="宋体" w:hAnsi="宋体" w:hint="eastAsia"/>
          <w:bCs/>
          <w:sz w:val="24"/>
        </w:rPr>
        <w:t>②摇号前发现机器有瑕疵或有故障，无法进行摇号且无法马上修复的话，则由拍卖师宣布暂停摇号，待摇号活动可以正常进行时再继续，具体的时间以拍卖人通知的时间为准。</w:t>
      </w:r>
    </w:p>
    <w:p w:rsidR="00A959EE" w:rsidRDefault="00A959EE" w:rsidP="00A959EE">
      <w:pPr>
        <w:spacing w:line="440" w:lineRule="exact"/>
        <w:ind w:firstLineChars="200" w:firstLine="480"/>
        <w:rPr>
          <w:rFonts w:ascii="宋体" w:hAnsi="宋体" w:hint="eastAsia"/>
          <w:bCs/>
          <w:sz w:val="24"/>
        </w:rPr>
      </w:pPr>
      <w:r>
        <w:rPr>
          <w:rFonts w:ascii="宋体" w:hAnsi="宋体" w:hint="eastAsia"/>
          <w:bCs/>
          <w:sz w:val="24"/>
        </w:rPr>
        <w:t>③由于摇号机器故障导致出现摇不出号码球或摇出多个号码球等其它非正常的摇号结果的，则该次摇号结果无效，重新进行摇号。</w:t>
      </w:r>
    </w:p>
    <w:p w:rsidR="00A959EE" w:rsidRDefault="00A959EE" w:rsidP="00A959EE">
      <w:pPr>
        <w:spacing w:line="440" w:lineRule="exact"/>
        <w:ind w:firstLineChars="200" w:firstLine="480"/>
        <w:rPr>
          <w:rFonts w:ascii="宋体" w:hAnsi="宋体" w:hint="eastAsia"/>
          <w:bCs/>
          <w:sz w:val="24"/>
        </w:rPr>
      </w:pPr>
      <w:r>
        <w:rPr>
          <w:rFonts w:ascii="宋体" w:hAnsi="宋体" w:hint="eastAsia"/>
          <w:bCs/>
          <w:sz w:val="24"/>
        </w:rPr>
        <w:t>④摇号过程中，如出现停电、机器故障或其它不可预测的异常情况，导致摇号活动不能正常进行，则由出让人和拍卖师共同商议解决方法。待摇号活动可正常进行时再继续，具体的时间以出让人通知的时间为准。</w:t>
      </w:r>
    </w:p>
    <w:p w:rsidR="00A959EE" w:rsidRDefault="00A959EE" w:rsidP="00A959EE">
      <w:pPr>
        <w:spacing w:line="440" w:lineRule="exact"/>
        <w:ind w:firstLineChars="200" w:firstLine="480"/>
        <w:rPr>
          <w:rFonts w:ascii="宋体" w:hAnsi="宋体" w:hint="eastAsia"/>
          <w:bCs/>
          <w:sz w:val="24"/>
        </w:rPr>
      </w:pPr>
      <w:r>
        <w:rPr>
          <w:rFonts w:ascii="宋体" w:hAnsi="宋体" w:hint="eastAsia"/>
          <w:bCs/>
          <w:sz w:val="24"/>
        </w:rPr>
        <w:t>⑤在摇号机正常工作的摇号过程中，若出现拍卖工作人员按动摇号机按钮后，至摇号机中的搅拌臂自动停止的时段内没有摇出乒乓球的，由拍卖工作人员继续按动摇号按钮继续摇号，直到摇出一球号为止，这一个球号所对应的竞买人即为该宗土地的竞得人。</w:t>
      </w:r>
    </w:p>
    <w:p w:rsidR="00A959EE" w:rsidRDefault="00A959EE" w:rsidP="00A959EE">
      <w:pPr>
        <w:spacing w:line="440" w:lineRule="exact"/>
        <w:ind w:firstLineChars="200" w:firstLine="480"/>
        <w:rPr>
          <w:rFonts w:ascii="宋体" w:hAnsi="宋体" w:hint="eastAsia"/>
          <w:bCs/>
          <w:sz w:val="24"/>
        </w:rPr>
      </w:pPr>
      <w:r>
        <w:rPr>
          <w:rFonts w:ascii="宋体" w:hAnsi="宋体" w:hint="eastAsia"/>
          <w:bCs/>
          <w:sz w:val="24"/>
        </w:rPr>
        <w:lastRenderedPageBreak/>
        <w:t>⑥如出现上述（①至⑤）特殊情况，摇号前第一阶段、第二阶段的竞价结果和参与摇号的竞买人资格及其代表球号依然有效。</w:t>
      </w:r>
    </w:p>
    <w:p w:rsidR="00A959EE" w:rsidRDefault="00A959EE" w:rsidP="00A959EE">
      <w:pPr>
        <w:spacing w:line="440" w:lineRule="exact"/>
        <w:ind w:firstLineChars="200" w:firstLine="480"/>
        <w:rPr>
          <w:rFonts w:ascii="宋体" w:hAnsi="宋体" w:hint="eastAsia"/>
          <w:bCs/>
          <w:sz w:val="24"/>
        </w:rPr>
      </w:pPr>
      <w:r>
        <w:rPr>
          <w:rFonts w:ascii="宋体" w:hAnsi="宋体" w:hint="eastAsia"/>
          <w:bCs/>
          <w:sz w:val="24"/>
        </w:rPr>
        <w:t>(4)</w:t>
      </w:r>
      <w:r>
        <w:rPr>
          <w:rFonts w:ascii="宋体" w:hAnsi="宋体" w:hint="eastAsia"/>
          <w:bCs/>
          <w:sz w:val="24"/>
        </w:rPr>
        <w:t>拍卖成交后</w:t>
      </w:r>
      <w:r>
        <w:rPr>
          <w:rFonts w:ascii="宋体" w:hAnsi="宋体" w:hint="eastAsia"/>
          <w:bCs/>
          <w:sz w:val="24"/>
        </w:rPr>
        <w:t>,</w:t>
      </w:r>
      <w:r>
        <w:rPr>
          <w:rFonts w:ascii="宋体" w:hAnsi="宋体" w:hint="eastAsia"/>
          <w:bCs/>
          <w:sz w:val="24"/>
        </w:rPr>
        <w:t>买受人应当场在《拍卖记录单》、《拍卖成交确认书》上买受人一栏中签名确认。</w:t>
      </w:r>
    </w:p>
    <w:p w:rsidR="00A959EE" w:rsidRDefault="00A959EE" w:rsidP="00A959EE">
      <w:pPr>
        <w:spacing w:line="440" w:lineRule="exact"/>
        <w:ind w:firstLineChars="200" w:firstLine="480"/>
        <w:rPr>
          <w:rFonts w:ascii="宋体" w:hAnsi="宋体" w:hint="eastAsia"/>
          <w:bCs/>
          <w:sz w:val="24"/>
        </w:rPr>
      </w:pPr>
      <w:r>
        <w:rPr>
          <w:rFonts w:ascii="宋体" w:hAnsi="宋体" w:hint="eastAsia"/>
          <w:bCs/>
          <w:sz w:val="24"/>
        </w:rPr>
        <w:t>(5)</w:t>
      </w:r>
      <w:r>
        <w:rPr>
          <w:rFonts w:ascii="宋体" w:hAnsi="宋体" w:hint="eastAsia"/>
          <w:bCs/>
          <w:sz w:val="24"/>
        </w:rPr>
        <w:t>竞买人必须遵守拍卖会场规定，服从拍卖工作人员安排，自觉维护拍卖会场秩序，未经许可不得拍照、录像；不得阻挠其它竞买人的竞价，不得阻挠拍卖师进行正常的拍卖工作，不得有恶意串通、操纵、垄断等违法行为，一经发现，拍卖师有权决定取消其竞买或中标资格，并追究其法律责任；竞买人违反拍卖会场规定，扰乱正常的拍卖会进行，造成直接经济损失和间接经济损失承担全部责任。</w:t>
      </w:r>
    </w:p>
    <w:p w:rsidR="00A959EE" w:rsidRDefault="00A959EE" w:rsidP="00A959EE">
      <w:pPr>
        <w:spacing w:line="440" w:lineRule="exact"/>
        <w:ind w:firstLineChars="200" w:firstLine="480"/>
        <w:rPr>
          <w:rFonts w:ascii="宋体" w:hAnsi="宋体" w:hint="eastAsia"/>
          <w:bCs/>
          <w:sz w:val="24"/>
        </w:rPr>
      </w:pPr>
      <w:r>
        <w:rPr>
          <w:rFonts w:ascii="宋体" w:hAnsi="宋体" w:hint="eastAsia"/>
          <w:bCs/>
          <w:sz w:val="24"/>
        </w:rPr>
        <w:t>八、拍卖款项：</w:t>
      </w:r>
    </w:p>
    <w:p w:rsidR="00A959EE" w:rsidRDefault="00A959EE" w:rsidP="00A959EE">
      <w:pPr>
        <w:spacing w:line="440" w:lineRule="exact"/>
        <w:ind w:firstLineChars="100" w:firstLine="240"/>
        <w:rPr>
          <w:rFonts w:ascii="宋体" w:hAnsi="宋体" w:hint="eastAsia"/>
          <w:bCs/>
          <w:sz w:val="24"/>
        </w:rPr>
      </w:pPr>
      <w:r>
        <w:rPr>
          <w:rFonts w:ascii="宋体" w:hAnsi="宋体" w:hint="eastAsia"/>
          <w:bCs/>
          <w:sz w:val="24"/>
        </w:rPr>
        <w:t>（一）拍卖会结束后，竞得人所支付的竞买保证金可直接抵作国有建设用地使用权出让价款，土地出让成交价款的</w:t>
      </w:r>
      <w:r>
        <w:rPr>
          <w:rFonts w:ascii="宋体" w:hAnsi="宋体" w:hint="eastAsia"/>
          <w:b/>
          <w:bCs/>
          <w:sz w:val="24"/>
        </w:rPr>
        <w:t>20%</w:t>
      </w:r>
      <w:r>
        <w:rPr>
          <w:rFonts w:ascii="宋体" w:hAnsi="宋体" w:hint="eastAsia"/>
          <w:bCs/>
          <w:sz w:val="24"/>
        </w:rPr>
        <w:t>作为出让合同定金。未竞得人交纳的竞买保证金，在拍卖出让活动结束后</w:t>
      </w:r>
      <w:r>
        <w:rPr>
          <w:rFonts w:ascii="宋体" w:hAnsi="宋体" w:hint="eastAsia"/>
          <w:bCs/>
          <w:sz w:val="24"/>
        </w:rPr>
        <w:t xml:space="preserve"> </w:t>
      </w:r>
      <w:r>
        <w:rPr>
          <w:rFonts w:ascii="宋体" w:hAnsi="宋体" w:hint="eastAsia"/>
          <w:b/>
          <w:bCs/>
          <w:sz w:val="24"/>
        </w:rPr>
        <w:t>5</w:t>
      </w:r>
      <w:r>
        <w:rPr>
          <w:rFonts w:ascii="宋体" w:hAnsi="宋体" w:hint="eastAsia"/>
          <w:bCs/>
          <w:sz w:val="24"/>
        </w:rPr>
        <w:t>个工作日内予以退还，不计利息。</w:t>
      </w:r>
    </w:p>
    <w:p w:rsidR="00A959EE" w:rsidRDefault="00A959EE" w:rsidP="00A959EE">
      <w:pPr>
        <w:spacing w:line="440" w:lineRule="exact"/>
        <w:ind w:firstLineChars="100" w:firstLine="240"/>
        <w:rPr>
          <w:rFonts w:ascii="宋体" w:hAnsi="宋体" w:hint="eastAsia"/>
          <w:bCs/>
          <w:sz w:val="24"/>
        </w:rPr>
      </w:pPr>
      <w:r>
        <w:rPr>
          <w:rFonts w:ascii="宋体" w:hAnsi="宋体" w:hint="eastAsia"/>
          <w:bCs/>
          <w:sz w:val="24"/>
        </w:rPr>
        <w:t>（二）拍卖成交后，买受人应严格按照《福安市国有建设用地使用权拍卖出让须知》内规定的要求支付拍卖价款，如不按期缴纳款项视为违约，除保证金不退外，因买受人违约，竞得人应当支付本次拍卖活动所支出的全部费用；出让人另行出让的价格低于原出让成交价的，原买受人须按实际差额支付赔偿金。</w:t>
      </w:r>
    </w:p>
    <w:p w:rsidR="00A959EE" w:rsidRDefault="00A959EE" w:rsidP="00A959EE">
      <w:pPr>
        <w:spacing w:line="440" w:lineRule="exact"/>
        <w:ind w:firstLineChars="182" w:firstLine="437"/>
        <w:rPr>
          <w:rFonts w:ascii="宋体" w:hAnsi="宋体" w:hint="eastAsia"/>
          <w:bCs/>
          <w:sz w:val="24"/>
        </w:rPr>
      </w:pPr>
      <w:r>
        <w:rPr>
          <w:rFonts w:ascii="宋体" w:hAnsi="宋体" w:hint="eastAsia"/>
          <w:bCs/>
          <w:sz w:val="24"/>
        </w:rPr>
        <w:t>九、拍卖标的的特别约定：</w:t>
      </w:r>
    </w:p>
    <w:p w:rsidR="00A959EE" w:rsidRDefault="00A959EE" w:rsidP="00A959EE">
      <w:pPr>
        <w:spacing w:line="440" w:lineRule="exact"/>
        <w:ind w:firstLineChars="100" w:firstLine="240"/>
        <w:rPr>
          <w:rFonts w:ascii="宋体" w:hAnsi="宋体" w:hint="eastAsia"/>
          <w:bCs/>
          <w:sz w:val="24"/>
        </w:rPr>
      </w:pPr>
      <w:r>
        <w:rPr>
          <w:rFonts w:ascii="宋体" w:hAnsi="宋体" w:hint="eastAsia"/>
          <w:bCs/>
          <w:sz w:val="24"/>
        </w:rPr>
        <w:t>（一）本场拍卖会的拍卖标的以当前现状拍卖，拍卖标的的面积、质量状况及瑕疵均以土地现状为准，竞买人于拍卖展示期间应到现场进行实地勘察，并认真咨询了解拍卖标的的瑕疵，本公司不隐瞒已知的拍卖标的的瑕疵，但对未知瑕疵不承担任何责任。本公司及工作人员的介绍和评价均为参考意见，不构成对拍卖标的的任何保证。竞买人一旦签收本规则并参加竞买即表明认可该拍卖标的的现状（包括瑕疵）。若竞买人未按照约定前往看样参加竞买的，即视同竞买人愿意接受该拍卖标的一切现状（包括瑕疵）。拍卖成交后买受人应自行承担相关拍卖标的的瑕疵责任，不得再对拍卖标的提出异议</w:t>
      </w:r>
      <w:r>
        <w:rPr>
          <w:rFonts w:ascii="宋体" w:hAnsi="宋体" w:hint="eastAsia"/>
          <w:bCs/>
          <w:sz w:val="24"/>
        </w:rPr>
        <w:t>,</w:t>
      </w:r>
      <w:r>
        <w:rPr>
          <w:rFonts w:ascii="宋体" w:hAnsi="宋体" w:hint="eastAsia"/>
          <w:bCs/>
          <w:sz w:val="24"/>
        </w:rPr>
        <w:t>本公司不承担瑕疵担保责任。</w:t>
      </w:r>
      <w:r>
        <w:rPr>
          <w:rFonts w:ascii="宋体" w:hAnsi="宋体" w:hint="eastAsia"/>
          <w:bCs/>
          <w:sz w:val="24"/>
        </w:rPr>
        <w:t xml:space="preserve"> </w:t>
      </w:r>
    </w:p>
    <w:p w:rsidR="00A959EE" w:rsidRDefault="00A959EE" w:rsidP="00A959EE">
      <w:pPr>
        <w:spacing w:line="440" w:lineRule="exact"/>
        <w:ind w:firstLineChars="200" w:firstLine="480"/>
        <w:rPr>
          <w:rFonts w:ascii="宋体" w:hAnsi="宋体" w:hint="eastAsia"/>
          <w:bCs/>
          <w:sz w:val="24"/>
        </w:rPr>
      </w:pPr>
      <w:r>
        <w:rPr>
          <w:rFonts w:ascii="宋体" w:hAnsi="宋体" w:hint="eastAsia"/>
          <w:bCs/>
          <w:sz w:val="24"/>
        </w:rPr>
        <w:lastRenderedPageBreak/>
        <w:t>（二）竞买人向拍卖人领取的竞买号牌提供他人使用，一律视作为竞买人的竞买行为，其产生的一切后果由号牌领取人负全部责任。委托人、拍卖人已对拍卖标的的相关已知事项作告知和声明，但不排除该拍卖标的有未知事项及瑕疵的存在，竞买人应充分考虑瑕疵风险因素及其他综合因素，竞买人一旦举牌即可认同拍卖瑕疵及现状，同意按现状受让无异议。</w:t>
      </w:r>
    </w:p>
    <w:p w:rsidR="00A959EE" w:rsidRDefault="00A959EE" w:rsidP="00A959EE">
      <w:pPr>
        <w:spacing w:line="440" w:lineRule="exact"/>
        <w:ind w:firstLineChars="200" w:firstLine="480"/>
        <w:rPr>
          <w:rFonts w:ascii="宋体" w:hAnsi="宋体" w:hint="eastAsia"/>
          <w:bCs/>
          <w:sz w:val="24"/>
        </w:rPr>
      </w:pPr>
      <w:r>
        <w:rPr>
          <w:rFonts w:ascii="宋体" w:hAnsi="宋体" w:hint="eastAsia"/>
          <w:bCs/>
          <w:sz w:val="24"/>
        </w:rPr>
        <w:t>（三）拍卖地块的基本情况及主要规划指标要求：</w:t>
      </w:r>
    </w:p>
    <w:p w:rsidR="00A959EE" w:rsidRDefault="00A959EE" w:rsidP="00A959EE">
      <w:pPr>
        <w:spacing w:line="440" w:lineRule="exact"/>
        <w:ind w:firstLineChars="200" w:firstLine="480"/>
        <w:rPr>
          <w:rFonts w:ascii="宋体" w:hAnsi="宋体" w:hint="eastAsia"/>
          <w:bCs/>
          <w:sz w:val="24"/>
        </w:rPr>
      </w:pPr>
      <w:r>
        <w:rPr>
          <w:rFonts w:ascii="宋体" w:hAnsi="宋体" w:hint="eastAsia"/>
          <w:bCs/>
          <w:sz w:val="24"/>
        </w:rPr>
        <w:t>1</w:t>
      </w:r>
      <w:r>
        <w:rPr>
          <w:rFonts w:ascii="宋体" w:hAnsi="宋体" w:hint="eastAsia"/>
          <w:bCs/>
          <w:sz w:val="24"/>
        </w:rPr>
        <w:t>）地块位置：</w:t>
      </w:r>
      <w:r>
        <w:rPr>
          <w:rFonts w:hint="eastAsia"/>
          <w:sz w:val="24"/>
        </w:rPr>
        <w:t>赛岐城市综合体三期项目地块</w:t>
      </w:r>
      <w:r>
        <w:rPr>
          <w:rFonts w:ascii="宋体" w:hAnsi="宋体" w:hint="eastAsia"/>
          <w:bCs/>
          <w:sz w:val="24"/>
        </w:rPr>
        <w:t>；</w:t>
      </w:r>
      <w:r>
        <w:rPr>
          <w:rFonts w:ascii="宋体" w:hAnsi="宋体" w:hint="eastAsia"/>
          <w:bCs/>
          <w:sz w:val="24"/>
        </w:rPr>
        <w:t xml:space="preserve"> </w:t>
      </w:r>
    </w:p>
    <w:p w:rsidR="00A959EE" w:rsidRDefault="00A959EE" w:rsidP="00A959EE">
      <w:pPr>
        <w:spacing w:line="440" w:lineRule="exact"/>
        <w:ind w:firstLineChars="200" w:firstLine="480"/>
        <w:rPr>
          <w:rFonts w:ascii="宋体" w:hAnsi="宋体" w:hint="eastAsia"/>
          <w:bCs/>
          <w:sz w:val="24"/>
        </w:rPr>
      </w:pPr>
      <w:r>
        <w:rPr>
          <w:rFonts w:ascii="宋体" w:hAnsi="宋体" w:hint="eastAsia"/>
          <w:bCs/>
          <w:sz w:val="24"/>
        </w:rPr>
        <w:t>2</w:t>
      </w:r>
      <w:r>
        <w:rPr>
          <w:rFonts w:ascii="宋体" w:hAnsi="宋体" w:hint="eastAsia"/>
          <w:bCs/>
          <w:sz w:val="24"/>
        </w:rPr>
        <w:t>）地块范围：详见规划红线图；</w:t>
      </w:r>
    </w:p>
    <w:p w:rsidR="00A959EE" w:rsidRDefault="00A959EE" w:rsidP="00A959EE">
      <w:pPr>
        <w:spacing w:line="440" w:lineRule="exact"/>
        <w:ind w:firstLineChars="200" w:firstLine="480"/>
        <w:rPr>
          <w:rFonts w:ascii="宋体" w:hAnsi="宋体" w:hint="eastAsia"/>
          <w:bCs/>
          <w:sz w:val="24"/>
        </w:rPr>
      </w:pPr>
      <w:r>
        <w:rPr>
          <w:rFonts w:ascii="宋体" w:hAnsi="宋体" w:hint="eastAsia"/>
          <w:bCs/>
          <w:sz w:val="24"/>
        </w:rPr>
        <w:t>3</w:t>
      </w:r>
      <w:r>
        <w:rPr>
          <w:rFonts w:ascii="宋体" w:hAnsi="宋体" w:hint="eastAsia"/>
          <w:bCs/>
          <w:sz w:val="24"/>
        </w:rPr>
        <w:t>）出让面积：用地面积</w:t>
      </w:r>
      <w:r>
        <w:rPr>
          <w:rFonts w:ascii="宋体" w:hAnsi="宋体" w:hint="eastAsia"/>
          <w:bCs/>
          <w:sz w:val="24"/>
        </w:rPr>
        <w:t>38396.53</w:t>
      </w:r>
      <w:r>
        <w:rPr>
          <w:rFonts w:ascii="宋体" w:hAnsi="宋体" w:hint="eastAsia"/>
          <w:bCs/>
          <w:sz w:val="24"/>
        </w:rPr>
        <w:t>平方米；</w:t>
      </w:r>
    </w:p>
    <w:p w:rsidR="00A959EE" w:rsidRDefault="00A959EE" w:rsidP="00A959EE">
      <w:pPr>
        <w:spacing w:line="440" w:lineRule="exact"/>
        <w:ind w:firstLineChars="200" w:firstLine="480"/>
        <w:rPr>
          <w:rFonts w:ascii="宋体" w:eastAsia="宋体" w:hAnsi="宋体" w:cs="Times New Roman" w:hint="eastAsia"/>
          <w:bCs/>
          <w:sz w:val="24"/>
        </w:rPr>
      </w:pPr>
      <w:r>
        <w:rPr>
          <w:rFonts w:ascii="宋体" w:hAnsi="宋体" w:hint="eastAsia"/>
          <w:bCs/>
          <w:sz w:val="24"/>
        </w:rPr>
        <w:t>4</w:t>
      </w:r>
      <w:r>
        <w:rPr>
          <w:rFonts w:ascii="宋体" w:hAnsi="宋体" w:hint="eastAsia"/>
          <w:bCs/>
          <w:sz w:val="24"/>
        </w:rPr>
        <w:t>）土地用途：</w:t>
      </w:r>
      <w:r>
        <w:rPr>
          <w:rFonts w:ascii="宋体" w:eastAsia="宋体" w:hAnsi="宋体" w:cs="Times New Roman" w:hint="eastAsia"/>
          <w:bCs/>
          <w:sz w:val="24"/>
        </w:rPr>
        <w:t>城镇住宅用地-二类城镇住宅用地。商业计容建筑面积控制在总计容建筑面积的10%以内。</w:t>
      </w:r>
    </w:p>
    <w:p w:rsidR="00A959EE" w:rsidRDefault="00A959EE" w:rsidP="00A959EE">
      <w:pPr>
        <w:spacing w:line="440" w:lineRule="exact"/>
        <w:ind w:firstLineChars="200" w:firstLine="480"/>
        <w:rPr>
          <w:rFonts w:ascii="宋体" w:hAnsi="宋体" w:hint="eastAsia"/>
          <w:bCs/>
          <w:sz w:val="24"/>
        </w:rPr>
      </w:pPr>
      <w:r>
        <w:rPr>
          <w:rFonts w:ascii="宋体" w:hAnsi="宋体" w:hint="eastAsia"/>
          <w:bCs/>
          <w:sz w:val="24"/>
        </w:rPr>
        <w:t>5</w:t>
      </w:r>
      <w:r>
        <w:rPr>
          <w:rFonts w:ascii="宋体" w:hAnsi="宋体" w:hint="eastAsia"/>
          <w:bCs/>
          <w:sz w:val="24"/>
        </w:rPr>
        <w:t>）土地使用权出让年限</w:t>
      </w:r>
      <w:r>
        <w:rPr>
          <w:rFonts w:ascii="宋体" w:hAnsi="宋体" w:cs="宋体" w:hint="eastAsia"/>
          <w:sz w:val="24"/>
        </w:rPr>
        <w:t>城镇住宅用地</w:t>
      </w:r>
      <w:r>
        <w:rPr>
          <w:rFonts w:ascii="宋体" w:hAnsi="宋体" w:cs="宋体" w:hint="eastAsia"/>
          <w:sz w:val="24"/>
        </w:rPr>
        <w:t>-</w:t>
      </w:r>
      <w:r>
        <w:rPr>
          <w:rFonts w:ascii="宋体" w:hAnsi="宋体" w:cs="宋体" w:hint="eastAsia"/>
          <w:sz w:val="24"/>
        </w:rPr>
        <w:t>二类城镇住宅用地</w:t>
      </w:r>
      <w:r>
        <w:rPr>
          <w:rFonts w:ascii="宋体" w:hAnsi="宋体" w:hint="eastAsia"/>
          <w:sz w:val="24"/>
        </w:rPr>
        <w:t>出让年限为</w:t>
      </w:r>
      <w:r>
        <w:rPr>
          <w:rFonts w:ascii="宋体" w:hAnsi="宋体" w:hint="eastAsia"/>
          <w:sz w:val="24"/>
        </w:rPr>
        <w:t>70</w:t>
      </w:r>
      <w:r>
        <w:rPr>
          <w:rFonts w:ascii="宋体" w:hAnsi="宋体" w:hint="eastAsia"/>
          <w:sz w:val="24"/>
        </w:rPr>
        <w:t>年，</w:t>
      </w:r>
      <w:r>
        <w:rPr>
          <w:rFonts w:ascii="宋体" w:hAnsi="宋体" w:hint="eastAsia"/>
          <w:bCs/>
          <w:sz w:val="24"/>
        </w:rPr>
        <w:t>自交付土地之日起计算；</w:t>
      </w:r>
    </w:p>
    <w:p w:rsidR="00A959EE" w:rsidRDefault="00A959EE" w:rsidP="00A959EE">
      <w:pPr>
        <w:spacing w:line="440" w:lineRule="exact"/>
        <w:ind w:firstLineChars="200" w:firstLine="480"/>
        <w:rPr>
          <w:rFonts w:ascii="宋体" w:hAnsi="宋体" w:hint="eastAsia"/>
          <w:bCs/>
          <w:sz w:val="24"/>
        </w:rPr>
      </w:pPr>
      <w:r>
        <w:rPr>
          <w:rFonts w:ascii="宋体" w:hAnsi="宋体" w:hint="eastAsia"/>
          <w:bCs/>
          <w:sz w:val="24"/>
        </w:rPr>
        <w:t>6</w:t>
      </w:r>
      <w:r>
        <w:rPr>
          <w:rFonts w:ascii="宋体" w:hAnsi="宋体" w:hint="eastAsia"/>
          <w:bCs/>
          <w:sz w:val="24"/>
        </w:rPr>
        <w:t>）建设期限：三年，建设项目应当在土地交付之日起</w:t>
      </w:r>
      <w:r>
        <w:rPr>
          <w:rFonts w:ascii="宋体" w:hAnsi="宋体" w:hint="eastAsia"/>
          <w:bCs/>
          <w:sz w:val="24"/>
        </w:rPr>
        <w:t>6</w:t>
      </w:r>
      <w:r>
        <w:rPr>
          <w:rFonts w:ascii="宋体" w:hAnsi="宋体" w:hint="eastAsia"/>
          <w:bCs/>
          <w:sz w:val="24"/>
        </w:rPr>
        <w:t>个月内开工建设，自开工之日起三年内竣工；</w:t>
      </w:r>
    </w:p>
    <w:p w:rsidR="00A959EE" w:rsidRDefault="00A959EE" w:rsidP="00A959EE">
      <w:pPr>
        <w:spacing w:line="440" w:lineRule="exact"/>
        <w:ind w:firstLineChars="200" w:firstLine="480"/>
        <w:rPr>
          <w:rFonts w:ascii="宋体" w:hAnsi="宋体" w:hint="eastAsia"/>
          <w:bCs/>
          <w:sz w:val="24"/>
        </w:rPr>
      </w:pPr>
      <w:r>
        <w:rPr>
          <w:rFonts w:ascii="宋体" w:hAnsi="宋体" w:hint="eastAsia"/>
          <w:bCs/>
          <w:sz w:val="24"/>
        </w:rPr>
        <w:t>7</w:t>
      </w:r>
      <w:r>
        <w:rPr>
          <w:rFonts w:ascii="宋体" w:hAnsi="宋体" w:hint="eastAsia"/>
          <w:bCs/>
          <w:sz w:val="24"/>
        </w:rPr>
        <w:t>）出让宗地交付：出让宗地在拍卖成交后签订合同之日起</w:t>
      </w:r>
      <w:r>
        <w:rPr>
          <w:rFonts w:ascii="宋体" w:hAnsi="宋体" w:hint="eastAsia"/>
          <w:bCs/>
          <w:sz w:val="24"/>
        </w:rPr>
        <w:t>6</w:t>
      </w:r>
      <w:r>
        <w:rPr>
          <w:rFonts w:ascii="宋体" w:hAnsi="宋体" w:hint="eastAsia"/>
          <w:bCs/>
          <w:sz w:val="24"/>
        </w:rPr>
        <w:t>个月内交付给受让人开发建设。宗地按净地交付使用；</w:t>
      </w:r>
    </w:p>
    <w:p w:rsidR="00A959EE" w:rsidRDefault="00A959EE" w:rsidP="00A959EE">
      <w:pPr>
        <w:spacing w:line="440" w:lineRule="exact"/>
        <w:ind w:firstLineChars="200" w:firstLine="480"/>
        <w:rPr>
          <w:rFonts w:ascii="宋体" w:hAnsi="宋体" w:hint="eastAsia"/>
          <w:bCs/>
          <w:sz w:val="24"/>
        </w:rPr>
      </w:pPr>
      <w:r>
        <w:rPr>
          <w:rFonts w:ascii="宋体" w:hAnsi="宋体" w:hint="eastAsia"/>
          <w:bCs/>
          <w:sz w:val="24"/>
        </w:rPr>
        <w:t>8</w:t>
      </w:r>
      <w:r>
        <w:rPr>
          <w:rFonts w:ascii="宋体" w:hAnsi="宋体" w:hint="eastAsia"/>
          <w:bCs/>
          <w:sz w:val="24"/>
        </w:rPr>
        <w:t>）土地现状：净地；</w:t>
      </w:r>
    </w:p>
    <w:p w:rsidR="00A959EE" w:rsidRDefault="00A959EE" w:rsidP="00A959EE">
      <w:pPr>
        <w:spacing w:line="440" w:lineRule="exact"/>
        <w:ind w:firstLineChars="100" w:firstLine="240"/>
        <w:rPr>
          <w:rFonts w:ascii="宋体" w:hAnsi="宋体" w:hint="eastAsia"/>
          <w:bCs/>
          <w:sz w:val="24"/>
        </w:rPr>
      </w:pPr>
      <w:r>
        <w:rPr>
          <w:rFonts w:ascii="宋体" w:hAnsi="宋体" w:hint="eastAsia"/>
          <w:bCs/>
          <w:sz w:val="24"/>
        </w:rPr>
        <w:t>（四）拍卖标的的详细情况以及具体要求以《福安市国有建设用地使用权拍卖出让须知》、</w:t>
      </w:r>
      <w:r>
        <w:rPr>
          <w:rFonts w:ascii="宋体" w:hAnsi="宋体" w:hint="eastAsia"/>
          <w:sz w:val="24"/>
        </w:rPr>
        <w:t>福安市自然资源局关于《关于赛岐城市综合体三期项目地块建设用地规划条件的通知》（安自然资〔</w:t>
      </w:r>
      <w:r>
        <w:rPr>
          <w:rFonts w:ascii="宋体" w:hAnsi="宋体" w:hint="eastAsia"/>
          <w:sz w:val="24"/>
        </w:rPr>
        <w:t>2024</w:t>
      </w:r>
      <w:r>
        <w:rPr>
          <w:rFonts w:ascii="宋体" w:hAnsi="宋体" w:hint="eastAsia"/>
          <w:sz w:val="24"/>
        </w:rPr>
        <w:t>〕</w:t>
      </w:r>
      <w:r>
        <w:rPr>
          <w:rFonts w:ascii="宋体" w:hAnsi="宋体" w:hint="eastAsia"/>
          <w:sz w:val="24"/>
        </w:rPr>
        <w:t>316</w:t>
      </w:r>
      <w:r>
        <w:rPr>
          <w:rFonts w:ascii="宋体" w:hAnsi="宋体" w:hint="eastAsia"/>
          <w:sz w:val="24"/>
        </w:rPr>
        <w:t>号）</w:t>
      </w:r>
      <w:r>
        <w:rPr>
          <w:rFonts w:ascii="宋体" w:hAnsi="宋体" w:hint="eastAsia"/>
          <w:bCs/>
          <w:sz w:val="24"/>
        </w:rPr>
        <w:t>。</w:t>
      </w:r>
    </w:p>
    <w:p w:rsidR="00A959EE" w:rsidRDefault="00A959EE" w:rsidP="00A959EE">
      <w:pPr>
        <w:spacing w:line="440" w:lineRule="exact"/>
        <w:ind w:firstLineChars="100" w:firstLine="240"/>
        <w:rPr>
          <w:rFonts w:ascii="宋体" w:hAnsi="宋体" w:hint="eastAsia"/>
          <w:bCs/>
          <w:sz w:val="24"/>
        </w:rPr>
      </w:pPr>
      <w:r>
        <w:rPr>
          <w:rFonts w:ascii="宋体" w:hAnsi="宋体" w:hint="eastAsia"/>
          <w:bCs/>
          <w:sz w:val="24"/>
        </w:rPr>
        <w:t>（五）拍卖成交价即为该幅地块的总地价款，不包括契税、拍卖佣金及按规定向相关部门缴纳的税费。</w:t>
      </w:r>
    </w:p>
    <w:p w:rsidR="00A959EE" w:rsidRDefault="00A959EE" w:rsidP="00A959EE">
      <w:pPr>
        <w:spacing w:line="320" w:lineRule="exact"/>
        <w:ind w:firstLineChars="100" w:firstLine="240"/>
        <w:rPr>
          <w:rFonts w:ascii="宋体" w:hAnsi="宋体" w:hint="eastAsia"/>
          <w:bCs/>
          <w:sz w:val="24"/>
        </w:rPr>
      </w:pPr>
      <w:r>
        <w:rPr>
          <w:rFonts w:ascii="宋体" w:hAnsi="宋体" w:hint="eastAsia"/>
          <w:bCs/>
          <w:sz w:val="24"/>
        </w:rPr>
        <w:t>（六）拍卖佣金：以超额累进制计取拍卖佣金，按以下比例计算得出总额向买受人收取：</w:t>
      </w:r>
    </w:p>
    <w:p w:rsidR="00A959EE" w:rsidRDefault="00A959EE" w:rsidP="00A959EE">
      <w:pPr>
        <w:spacing w:line="440" w:lineRule="exact"/>
        <w:ind w:firstLineChars="200" w:firstLine="480"/>
        <w:rPr>
          <w:rFonts w:ascii="宋体" w:hAnsi="宋体" w:hint="eastAsia"/>
          <w:bCs/>
          <w:sz w:val="24"/>
        </w:rPr>
      </w:pPr>
      <w:r>
        <w:rPr>
          <w:rFonts w:ascii="宋体" w:hAnsi="宋体" w:hint="eastAsia"/>
          <w:bCs/>
          <w:sz w:val="24"/>
        </w:rPr>
        <w:t>①拍卖成交价在</w:t>
      </w:r>
      <w:r>
        <w:rPr>
          <w:rFonts w:ascii="宋体" w:hAnsi="宋体" w:hint="eastAsia"/>
          <w:bCs/>
          <w:sz w:val="24"/>
        </w:rPr>
        <w:t>500</w:t>
      </w:r>
      <w:r>
        <w:rPr>
          <w:rFonts w:ascii="宋体" w:hAnsi="宋体" w:hint="eastAsia"/>
          <w:bCs/>
          <w:sz w:val="24"/>
        </w:rPr>
        <w:t>万元以下的（含</w:t>
      </w:r>
      <w:r>
        <w:rPr>
          <w:rFonts w:ascii="宋体" w:hAnsi="宋体" w:hint="eastAsia"/>
          <w:bCs/>
          <w:sz w:val="24"/>
        </w:rPr>
        <w:t>500</w:t>
      </w:r>
      <w:r>
        <w:rPr>
          <w:rFonts w:ascii="宋体" w:hAnsi="宋体" w:hint="eastAsia"/>
          <w:bCs/>
          <w:sz w:val="24"/>
        </w:rPr>
        <w:t>万元），按</w:t>
      </w:r>
      <w:r>
        <w:rPr>
          <w:rFonts w:ascii="宋体" w:hAnsi="宋体" w:hint="eastAsia"/>
          <w:bCs/>
          <w:sz w:val="24"/>
        </w:rPr>
        <w:t>2%</w:t>
      </w:r>
      <w:r>
        <w:rPr>
          <w:rFonts w:ascii="宋体" w:hAnsi="宋体" w:hint="eastAsia"/>
          <w:bCs/>
          <w:sz w:val="24"/>
        </w:rPr>
        <w:t>计取；</w:t>
      </w:r>
    </w:p>
    <w:p w:rsidR="00A959EE" w:rsidRDefault="00A959EE" w:rsidP="00A959EE">
      <w:pPr>
        <w:spacing w:line="440" w:lineRule="exact"/>
        <w:ind w:firstLineChars="200" w:firstLine="480"/>
        <w:rPr>
          <w:rFonts w:ascii="宋体" w:hAnsi="宋体" w:hint="eastAsia"/>
          <w:bCs/>
          <w:sz w:val="24"/>
        </w:rPr>
      </w:pPr>
      <w:r>
        <w:rPr>
          <w:rFonts w:ascii="宋体" w:hAnsi="宋体" w:hint="eastAsia"/>
          <w:bCs/>
          <w:sz w:val="24"/>
        </w:rPr>
        <w:lastRenderedPageBreak/>
        <w:t>②拍卖成交价在</w:t>
      </w:r>
      <w:r>
        <w:rPr>
          <w:rFonts w:ascii="宋体" w:hAnsi="宋体" w:hint="eastAsia"/>
          <w:bCs/>
          <w:sz w:val="24"/>
        </w:rPr>
        <w:t>500</w:t>
      </w:r>
      <w:r>
        <w:rPr>
          <w:rFonts w:ascii="宋体" w:hAnsi="宋体" w:hint="eastAsia"/>
          <w:bCs/>
          <w:sz w:val="24"/>
        </w:rPr>
        <w:t>万元</w:t>
      </w:r>
      <w:r>
        <w:rPr>
          <w:rFonts w:ascii="宋体" w:hAnsi="宋体" w:hint="eastAsia"/>
          <w:bCs/>
          <w:sz w:val="24"/>
        </w:rPr>
        <w:t>--1000</w:t>
      </w:r>
      <w:r>
        <w:rPr>
          <w:rFonts w:ascii="宋体" w:hAnsi="宋体" w:hint="eastAsia"/>
          <w:bCs/>
          <w:sz w:val="24"/>
        </w:rPr>
        <w:t>万元之间的（含</w:t>
      </w:r>
      <w:r>
        <w:rPr>
          <w:rFonts w:ascii="宋体" w:hAnsi="宋体" w:hint="eastAsia"/>
          <w:bCs/>
          <w:sz w:val="24"/>
        </w:rPr>
        <w:t>1000</w:t>
      </w:r>
      <w:r>
        <w:rPr>
          <w:rFonts w:ascii="宋体" w:hAnsi="宋体" w:hint="eastAsia"/>
          <w:bCs/>
          <w:sz w:val="24"/>
        </w:rPr>
        <w:t>万元）部分，按</w:t>
      </w:r>
      <w:r>
        <w:rPr>
          <w:rFonts w:ascii="宋体" w:hAnsi="宋体" w:hint="eastAsia"/>
          <w:bCs/>
          <w:sz w:val="24"/>
        </w:rPr>
        <w:t>1%</w:t>
      </w:r>
      <w:r>
        <w:rPr>
          <w:rFonts w:ascii="宋体" w:hAnsi="宋体" w:hint="eastAsia"/>
          <w:bCs/>
          <w:sz w:val="24"/>
        </w:rPr>
        <w:t>计取；</w:t>
      </w:r>
    </w:p>
    <w:p w:rsidR="00A959EE" w:rsidRDefault="00A959EE" w:rsidP="00A959EE">
      <w:pPr>
        <w:spacing w:line="440" w:lineRule="exact"/>
        <w:ind w:firstLineChars="200" w:firstLine="480"/>
        <w:rPr>
          <w:rFonts w:ascii="宋体" w:hAnsi="宋体" w:hint="eastAsia"/>
          <w:bCs/>
          <w:sz w:val="24"/>
        </w:rPr>
      </w:pPr>
      <w:r>
        <w:rPr>
          <w:rFonts w:ascii="宋体" w:hAnsi="宋体" w:hint="eastAsia"/>
          <w:bCs/>
          <w:sz w:val="24"/>
        </w:rPr>
        <w:t>③拍卖成交价在</w:t>
      </w:r>
      <w:r>
        <w:rPr>
          <w:rFonts w:ascii="宋体" w:hAnsi="宋体" w:hint="eastAsia"/>
          <w:bCs/>
          <w:sz w:val="24"/>
        </w:rPr>
        <w:t>1000</w:t>
      </w:r>
      <w:r>
        <w:rPr>
          <w:rFonts w:ascii="宋体" w:hAnsi="宋体" w:hint="eastAsia"/>
          <w:bCs/>
          <w:sz w:val="24"/>
        </w:rPr>
        <w:t>万元</w:t>
      </w:r>
      <w:r>
        <w:rPr>
          <w:rFonts w:ascii="宋体" w:hAnsi="宋体" w:hint="eastAsia"/>
          <w:bCs/>
          <w:sz w:val="24"/>
        </w:rPr>
        <w:t>--1</w:t>
      </w:r>
      <w:r>
        <w:rPr>
          <w:rFonts w:ascii="宋体" w:hAnsi="宋体" w:hint="eastAsia"/>
          <w:bCs/>
          <w:sz w:val="24"/>
        </w:rPr>
        <w:t>亿元之间的（含</w:t>
      </w:r>
      <w:r>
        <w:rPr>
          <w:rFonts w:ascii="宋体" w:hAnsi="宋体" w:hint="eastAsia"/>
          <w:bCs/>
          <w:sz w:val="24"/>
        </w:rPr>
        <w:t>1</w:t>
      </w:r>
      <w:r>
        <w:rPr>
          <w:rFonts w:ascii="宋体" w:hAnsi="宋体" w:hint="eastAsia"/>
          <w:bCs/>
          <w:sz w:val="24"/>
        </w:rPr>
        <w:t>亿元）部分，按</w:t>
      </w:r>
      <w:r>
        <w:rPr>
          <w:rFonts w:ascii="宋体" w:hAnsi="宋体" w:hint="eastAsia"/>
          <w:bCs/>
          <w:sz w:val="24"/>
        </w:rPr>
        <w:t>0.2%</w:t>
      </w:r>
      <w:r>
        <w:rPr>
          <w:rFonts w:ascii="宋体" w:hAnsi="宋体" w:hint="eastAsia"/>
          <w:bCs/>
          <w:sz w:val="24"/>
        </w:rPr>
        <w:t>计取；</w:t>
      </w:r>
    </w:p>
    <w:p w:rsidR="00A959EE" w:rsidRDefault="00A959EE" w:rsidP="00A959EE">
      <w:pPr>
        <w:spacing w:line="440" w:lineRule="exact"/>
        <w:ind w:firstLineChars="200" w:firstLine="480"/>
        <w:rPr>
          <w:rFonts w:ascii="宋体" w:hAnsi="宋体" w:hint="eastAsia"/>
          <w:bCs/>
          <w:sz w:val="24"/>
        </w:rPr>
      </w:pPr>
      <w:r>
        <w:rPr>
          <w:rFonts w:ascii="宋体" w:hAnsi="宋体" w:hint="eastAsia"/>
          <w:bCs/>
          <w:sz w:val="24"/>
        </w:rPr>
        <w:t>④拍卖成交价在</w:t>
      </w:r>
      <w:r>
        <w:rPr>
          <w:rFonts w:ascii="宋体" w:hAnsi="宋体" w:hint="eastAsia"/>
          <w:bCs/>
          <w:sz w:val="24"/>
        </w:rPr>
        <w:t>1</w:t>
      </w:r>
      <w:r>
        <w:rPr>
          <w:rFonts w:ascii="宋体" w:hAnsi="宋体" w:hint="eastAsia"/>
          <w:bCs/>
          <w:sz w:val="24"/>
        </w:rPr>
        <w:t>亿元</w:t>
      </w:r>
      <w:r>
        <w:rPr>
          <w:rFonts w:ascii="宋体" w:hAnsi="宋体" w:hint="eastAsia"/>
          <w:bCs/>
          <w:sz w:val="24"/>
        </w:rPr>
        <w:t>--2</w:t>
      </w:r>
      <w:r>
        <w:rPr>
          <w:rFonts w:ascii="宋体" w:hAnsi="宋体" w:hint="eastAsia"/>
          <w:bCs/>
          <w:sz w:val="24"/>
        </w:rPr>
        <w:t>亿元之间的（含</w:t>
      </w:r>
      <w:r>
        <w:rPr>
          <w:rFonts w:ascii="宋体" w:hAnsi="宋体" w:hint="eastAsia"/>
          <w:bCs/>
          <w:sz w:val="24"/>
        </w:rPr>
        <w:t>2</w:t>
      </w:r>
      <w:r>
        <w:rPr>
          <w:rFonts w:ascii="宋体" w:hAnsi="宋体" w:hint="eastAsia"/>
          <w:bCs/>
          <w:sz w:val="24"/>
        </w:rPr>
        <w:t>亿元）部分，按</w:t>
      </w:r>
      <w:r>
        <w:rPr>
          <w:rFonts w:ascii="宋体" w:hAnsi="宋体" w:hint="eastAsia"/>
          <w:bCs/>
          <w:sz w:val="24"/>
        </w:rPr>
        <w:t>0.03%</w:t>
      </w:r>
      <w:r>
        <w:rPr>
          <w:rFonts w:ascii="宋体" w:hAnsi="宋体" w:hint="eastAsia"/>
          <w:bCs/>
          <w:sz w:val="24"/>
        </w:rPr>
        <w:t>计取；</w:t>
      </w:r>
    </w:p>
    <w:p w:rsidR="00A959EE" w:rsidRDefault="00A959EE" w:rsidP="00A959EE">
      <w:pPr>
        <w:spacing w:line="440" w:lineRule="exact"/>
        <w:ind w:firstLineChars="200" w:firstLine="480"/>
        <w:rPr>
          <w:rFonts w:ascii="宋体" w:hAnsi="宋体" w:hint="eastAsia"/>
          <w:bCs/>
          <w:sz w:val="24"/>
        </w:rPr>
      </w:pPr>
      <w:r>
        <w:rPr>
          <w:rFonts w:ascii="宋体" w:hAnsi="宋体" w:hint="eastAsia"/>
          <w:bCs/>
          <w:sz w:val="24"/>
        </w:rPr>
        <w:t>⑤单项拍卖佣金不得超过</w:t>
      </w:r>
      <w:r>
        <w:rPr>
          <w:rFonts w:ascii="宋体" w:hAnsi="宋体" w:hint="eastAsia"/>
          <w:bCs/>
          <w:sz w:val="24"/>
        </w:rPr>
        <w:t>36</w:t>
      </w:r>
      <w:r>
        <w:rPr>
          <w:rFonts w:ascii="宋体" w:hAnsi="宋体" w:hint="eastAsia"/>
          <w:bCs/>
          <w:sz w:val="24"/>
        </w:rPr>
        <w:t>万元。</w:t>
      </w:r>
    </w:p>
    <w:p w:rsidR="00A959EE" w:rsidRDefault="00A959EE" w:rsidP="00A959EE">
      <w:pPr>
        <w:spacing w:line="440" w:lineRule="exact"/>
        <w:ind w:firstLineChars="200" w:firstLine="480"/>
        <w:rPr>
          <w:rFonts w:ascii="宋体" w:hAnsi="宋体" w:hint="eastAsia"/>
          <w:bCs/>
          <w:sz w:val="24"/>
        </w:rPr>
      </w:pPr>
      <w:r>
        <w:rPr>
          <w:rFonts w:ascii="宋体" w:hAnsi="宋体" w:hint="eastAsia"/>
          <w:bCs/>
          <w:sz w:val="24"/>
        </w:rPr>
        <w:t>竞得人应在</w:t>
      </w:r>
      <w:r>
        <w:rPr>
          <w:rFonts w:ascii="宋体" w:hAnsi="宋体" w:hint="eastAsia"/>
          <w:bCs/>
          <w:sz w:val="24"/>
        </w:rPr>
        <w:t>2024</w:t>
      </w:r>
      <w:r>
        <w:rPr>
          <w:rFonts w:ascii="宋体" w:hAnsi="宋体" w:hint="eastAsia"/>
          <w:bCs/>
          <w:sz w:val="24"/>
        </w:rPr>
        <w:t>年</w:t>
      </w:r>
      <w:r>
        <w:rPr>
          <w:rFonts w:ascii="宋体" w:hAnsi="宋体" w:hint="eastAsia"/>
          <w:bCs/>
          <w:sz w:val="24"/>
        </w:rPr>
        <w:t>7</w:t>
      </w:r>
      <w:r>
        <w:rPr>
          <w:rFonts w:ascii="宋体" w:hAnsi="宋体" w:hint="eastAsia"/>
          <w:bCs/>
          <w:sz w:val="24"/>
        </w:rPr>
        <w:t>月</w:t>
      </w:r>
      <w:r>
        <w:rPr>
          <w:rFonts w:ascii="宋体" w:hAnsi="宋体" w:hint="eastAsia"/>
          <w:bCs/>
          <w:sz w:val="24"/>
        </w:rPr>
        <w:t>25</w:t>
      </w:r>
      <w:r>
        <w:rPr>
          <w:rFonts w:ascii="宋体" w:hAnsi="宋体" w:hint="eastAsia"/>
          <w:bCs/>
          <w:sz w:val="24"/>
        </w:rPr>
        <w:t>日前将拍卖佣金汇入如下账户：</w:t>
      </w:r>
    </w:p>
    <w:p w:rsidR="00A959EE" w:rsidRDefault="00A959EE" w:rsidP="00A959EE">
      <w:pPr>
        <w:spacing w:line="460" w:lineRule="exact"/>
        <w:ind w:firstLineChars="200" w:firstLine="560"/>
        <w:rPr>
          <w:rFonts w:ascii="宋体" w:hAnsi="宋体" w:cs="宋体" w:hint="eastAsia"/>
          <w:b/>
          <w:sz w:val="28"/>
          <w:szCs w:val="28"/>
        </w:rPr>
      </w:pPr>
      <w:r>
        <w:rPr>
          <w:rFonts w:ascii="宋体" w:hAnsi="宋体" w:cs="宋体" w:hint="eastAsia"/>
          <w:b/>
          <w:sz w:val="28"/>
          <w:szCs w:val="28"/>
        </w:rPr>
        <w:t>户</w:t>
      </w:r>
      <w:r>
        <w:rPr>
          <w:rFonts w:ascii="宋体" w:hAnsi="宋体" w:cs="宋体" w:hint="eastAsia"/>
          <w:b/>
          <w:sz w:val="28"/>
          <w:szCs w:val="28"/>
        </w:rPr>
        <w:t xml:space="preserve">  </w:t>
      </w:r>
      <w:r>
        <w:rPr>
          <w:rFonts w:ascii="宋体" w:hAnsi="宋体" w:cs="宋体" w:hint="eastAsia"/>
          <w:b/>
          <w:sz w:val="28"/>
          <w:szCs w:val="28"/>
        </w:rPr>
        <w:t>名：福建恒信拍卖行有限公司</w:t>
      </w:r>
    </w:p>
    <w:p w:rsidR="00A959EE" w:rsidRDefault="00A959EE" w:rsidP="00A959EE">
      <w:pPr>
        <w:spacing w:line="460" w:lineRule="exact"/>
        <w:ind w:firstLineChars="200" w:firstLine="560"/>
        <w:rPr>
          <w:rFonts w:ascii="宋体" w:hAnsi="宋体" w:cs="宋体" w:hint="eastAsia"/>
          <w:b/>
          <w:bCs/>
          <w:sz w:val="28"/>
          <w:szCs w:val="28"/>
        </w:rPr>
      </w:pPr>
      <w:r>
        <w:rPr>
          <w:rFonts w:ascii="宋体" w:hAnsi="宋体" w:cs="宋体" w:hint="eastAsia"/>
          <w:b/>
          <w:bCs/>
          <w:sz w:val="28"/>
          <w:szCs w:val="28"/>
        </w:rPr>
        <w:t>开户行：厦门建行税保支行</w:t>
      </w:r>
    </w:p>
    <w:p w:rsidR="00A959EE" w:rsidRDefault="00A959EE" w:rsidP="00A959EE">
      <w:pPr>
        <w:spacing w:line="460" w:lineRule="exact"/>
        <w:ind w:firstLineChars="200" w:firstLine="560"/>
        <w:rPr>
          <w:rFonts w:ascii="宋体" w:hAnsi="宋体" w:hint="eastAsia"/>
          <w:bCs/>
          <w:sz w:val="24"/>
        </w:rPr>
      </w:pPr>
      <w:r>
        <w:rPr>
          <w:rFonts w:ascii="宋体" w:hAnsi="宋体" w:cs="宋体" w:hint="eastAsia"/>
          <w:b/>
          <w:bCs/>
          <w:sz w:val="28"/>
          <w:szCs w:val="28"/>
        </w:rPr>
        <w:t>账</w:t>
      </w:r>
      <w:r>
        <w:rPr>
          <w:rFonts w:ascii="宋体" w:hAnsi="宋体" w:cs="宋体" w:hint="eastAsia"/>
          <w:b/>
          <w:bCs/>
          <w:sz w:val="28"/>
          <w:szCs w:val="28"/>
        </w:rPr>
        <w:t xml:space="preserve">  </w:t>
      </w:r>
      <w:r>
        <w:rPr>
          <w:rFonts w:ascii="宋体" w:hAnsi="宋体" w:cs="宋体" w:hint="eastAsia"/>
          <w:b/>
          <w:bCs/>
          <w:sz w:val="28"/>
          <w:szCs w:val="28"/>
        </w:rPr>
        <w:t>号：</w:t>
      </w:r>
      <w:r>
        <w:rPr>
          <w:rFonts w:ascii="宋体" w:hAnsi="宋体" w:cs="宋体" w:hint="eastAsia"/>
          <w:b/>
          <w:bCs/>
          <w:sz w:val="28"/>
          <w:szCs w:val="28"/>
        </w:rPr>
        <w:t>35101523001059999688</w:t>
      </w:r>
      <w:r>
        <w:rPr>
          <w:rFonts w:ascii="宋体" w:hAnsi="宋体" w:hint="eastAsia"/>
          <w:bCs/>
          <w:sz w:val="24"/>
        </w:rPr>
        <w:t xml:space="preserve"> </w:t>
      </w:r>
    </w:p>
    <w:p w:rsidR="00A959EE" w:rsidRDefault="00A959EE" w:rsidP="00A959EE">
      <w:pPr>
        <w:spacing w:line="440" w:lineRule="exact"/>
        <w:ind w:firstLineChars="200" w:firstLine="480"/>
        <w:rPr>
          <w:rFonts w:ascii="宋体" w:hAnsi="宋体" w:hint="eastAsia"/>
          <w:bCs/>
          <w:sz w:val="24"/>
        </w:rPr>
      </w:pPr>
      <w:r>
        <w:rPr>
          <w:rFonts w:ascii="宋体" w:hAnsi="宋体" w:hint="eastAsia"/>
          <w:bCs/>
          <w:sz w:val="24"/>
        </w:rPr>
        <w:t>拍卖人在核实佣金到帐后由拍卖人向竞得人出具佣金发票。</w:t>
      </w:r>
    </w:p>
    <w:p w:rsidR="00A959EE" w:rsidRDefault="00A959EE" w:rsidP="00A959EE">
      <w:pPr>
        <w:spacing w:line="440" w:lineRule="exact"/>
        <w:ind w:firstLineChars="100" w:firstLine="240"/>
        <w:rPr>
          <w:rFonts w:ascii="宋体" w:hAnsi="宋体" w:hint="eastAsia"/>
          <w:bCs/>
          <w:sz w:val="24"/>
        </w:rPr>
      </w:pPr>
      <w:r>
        <w:rPr>
          <w:rFonts w:ascii="宋体" w:hAnsi="宋体" w:hint="eastAsia"/>
          <w:bCs/>
          <w:sz w:val="24"/>
        </w:rPr>
        <w:t>（七）标的移交方式：按《福安市国有建设用地使用权拍卖出让须知》要求办理，拍卖人提供成交确认书，买受人与委托人自行负责办理交接等相关手续。</w:t>
      </w:r>
    </w:p>
    <w:p w:rsidR="00A959EE" w:rsidRDefault="00A959EE" w:rsidP="00A959EE">
      <w:pPr>
        <w:spacing w:line="440" w:lineRule="exact"/>
        <w:ind w:firstLineChars="200" w:firstLine="480"/>
        <w:rPr>
          <w:rFonts w:ascii="宋体" w:hAnsi="宋体" w:hint="eastAsia"/>
          <w:bCs/>
          <w:sz w:val="24"/>
        </w:rPr>
      </w:pPr>
      <w:r>
        <w:rPr>
          <w:rFonts w:ascii="宋体" w:hAnsi="宋体" w:hint="eastAsia"/>
          <w:bCs/>
          <w:sz w:val="24"/>
        </w:rPr>
        <w:t>十、违约责任：</w:t>
      </w:r>
    </w:p>
    <w:p w:rsidR="00A959EE" w:rsidRDefault="00A959EE" w:rsidP="00A959EE">
      <w:pPr>
        <w:spacing w:line="440" w:lineRule="exact"/>
        <w:ind w:firstLineChars="100" w:firstLine="240"/>
        <w:rPr>
          <w:rFonts w:ascii="宋体" w:hAnsi="宋体" w:hint="eastAsia"/>
          <w:bCs/>
          <w:sz w:val="24"/>
        </w:rPr>
      </w:pPr>
      <w:r>
        <w:rPr>
          <w:rFonts w:ascii="宋体" w:hAnsi="宋体" w:hint="eastAsia"/>
          <w:bCs/>
          <w:sz w:val="24"/>
        </w:rPr>
        <w:t>（一）逾期不结清拍卖款的买受人，本公司将其按违约处理，保证金不予退还，并视情对拍卖标的再行拍卖或处理，且根据《中华人民共和国拍卖法》第三十九条规定。拍卖公司保留向该买受人提请赔偿及诉讼的权力。</w:t>
      </w:r>
    </w:p>
    <w:p w:rsidR="00A959EE" w:rsidRDefault="00A959EE" w:rsidP="00A959EE">
      <w:pPr>
        <w:spacing w:line="440" w:lineRule="exact"/>
        <w:ind w:firstLineChars="100" w:firstLine="240"/>
        <w:rPr>
          <w:rFonts w:ascii="宋体" w:hAnsi="宋体" w:hint="eastAsia"/>
          <w:bCs/>
          <w:sz w:val="24"/>
        </w:rPr>
      </w:pPr>
      <w:r>
        <w:rPr>
          <w:rFonts w:ascii="宋体" w:hAnsi="宋体" w:hint="eastAsia"/>
          <w:bCs/>
          <w:sz w:val="24"/>
        </w:rPr>
        <w:t>（二）若竞买人有违反本国有建设用地使用权竞买规则条款规定的行为，将被取消竞买资格，竞买保证金不予退回。同时拍卖人保留通过法律途径进行追诉的权利。</w:t>
      </w:r>
    </w:p>
    <w:p w:rsidR="00A959EE" w:rsidRDefault="00A959EE" w:rsidP="00A959EE">
      <w:pPr>
        <w:spacing w:line="300" w:lineRule="exact"/>
        <w:rPr>
          <w:rFonts w:ascii="宋体" w:hAnsi="宋体" w:hint="eastAsia"/>
          <w:b/>
          <w:bCs/>
          <w:sz w:val="28"/>
          <w:szCs w:val="28"/>
        </w:rPr>
      </w:pPr>
    </w:p>
    <w:p w:rsidR="004358AB" w:rsidRDefault="004358AB" w:rsidP="00D31D50">
      <w:pPr>
        <w:spacing w:line="220" w:lineRule="atLeast"/>
      </w:pPr>
    </w:p>
    <w:sectPr w:rsidR="004358AB" w:rsidSect="004358A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09DF" w:rsidRDefault="00B409DF" w:rsidP="00A959EE">
      <w:pPr>
        <w:spacing w:after="0"/>
      </w:pPr>
      <w:r>
        <w:separator/>
      </w:r>
    </w:p>
  </w:endnote>
  <w:endnote w:type="continuationSeparator" w:id="0">
    <w:p w:rsidR="00B409DF" w:rsidRDefault="00B409DF" w:rsidP="00A959EE">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09DF" w:rsidRDefault="00B409DF" w:rsidP="00A959EE">
      <w:pPr>
        <w:spacing w:after="0"/>
      </w:pPr>
      <w:r>
        <w:separator/>
      </w:r>
    </w:p>
  </w:footnote>
  <w:footnote w:type="continuationSeparator" w:id="0">
    <w:p w:rsidR="00B409DF" w:rsidRDefault="00B409DF" w:rsidP="00A959EE">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15957"/>
    <w:multiLevelType w:val="singleLevel"/>
    <w:tmpl w:val="07615957"/>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hdrShapeDefaults>
    <o:shapedefaults v:ext="edit" spidmax="6146"/>
  </w:hdrShapeDefaults>
  <w:footnotePr>
    <w:footnote w:id="-1"/>
    <w:footnote w:id="0"/>
  </w:footnotePr>
  <w:endnotePr>
    <w:endnote w:id="-1"/>
    <w:endnote w:id="0"/>
  </w:endnotePr>
  <w:compat>
    <w:useFELayout/>
  </w:compat>
  <w:rsids>
    <w:rsidRoot w:val="00D31D50"/>
    <w:rsid w:val="00323B43"/>
    <w:rsid w:val="00372F71"/>
    <w:rsid w:val="003D37D8"/>
    <w:rsid w:val="00426133"/>
    <w:rsid w:val="004358AB"/>
    <w:rsid w:val="008B7726"/>
    <w:rsid w:val="00A959EE"/>
    <w:rsid w:val="00B409DF"/>
    <w:rsid w:val="00D31D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paragraph" w:styleId="1">
    <w:name w:val="heading 1"/>
    <w:basedOn w:val="a"/>
    <w:next w:val="a"/>
    <w:link w:val="1Char"/>
    <w:qFormat/>
    <w:rsid w:val="00A959EE"/>
    <w:pPr>
      <w:keepNext/>
      <w:keepLines/>
      <w:widowControl w:val="0"/>
      <w:adjustRightInd/>
      <w:snapToGrid/>
      <w:spacing w:before="340" w:after="330" w:line="578" w:lineRule="auto"/>
      <w:jc w:val="both"/>
      <w:outlineLvl w:val="0"/>
    </w:pPr>
    <w:rPr>
      <w:rFonts w:ascii="Times New Roman" w:eastAsia="宋体" w:hAnsi="Times New Roman" w:cs="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959EE"/>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A959EE"/>
    <w:rPr>
      <w:rFonts w:ascii="Tahoma" w:hAnsi="Tahoma"/>
      <w:sz w:val="18"/>
      <w:szCs w:val="18"/>
    </w:rPr>
  </w:style>
  <w:style w:type="paragraph" w:styleId="a4">
    <w:name w:val="footer"/>
    <w:basedOn w:val="a"/>
    <w:link w:val="Char0"/>
    <w:uiPriority w:val="99"/>
    <w:semiHidden/>
    <w:unhideWhenUsed/>
    <w:rsid w:val="00A959EE"/>
    <w:pPr>
      <w:tabs>
        <w:tab w:val="center" w:pos="4153"/>
        <w:tab w:val="right" w:pos="8306"/>
      </w:tabs>
    </w:pPr>
    <w:rPr>
      <w:sz w:val="18"/>
      <w:szCs w:val="18"/>
    </w:rPr>
  </w:style>
  <w:style w:type="character" w:customStyle="1" w:styleId="Char0">
    <w:name w:val="页脚 Char"/>
    <w:basedOn w:val="a0"/>
    <w:link w:val="a4"/>
    <w:uiPriority w:val="99"/>
    <w:semiHidden/>
    <w:rsid w:val="00A959EE"/>
    <w:rPr>
      <w:rFonts w:ascii="Tahoma" w:hAnsi="Tahoma"/>
      <w:sz w:val="18"/>
      <w:szCs w:val="18"/>
    </w:rPr>
  </w:style>
  <w:style w:type="character" w:customStyle="1" w:styleId="1Char">
    <w:name w:val="标题 1 Char"/>
    <w:basedOn w:val="a0"/>
    <w:link w:val="1"/>
    <w:rsid w:val="00A959EE"/>
    <w:rPr>
      <w:rFonts w:ascii="Times New Roman" w:eastAsia="宋体" w:hAnsi="Times New Roman" w:cs="Times New Roman"/>
      <w:b/>
      <w:bCs/>
      <w:kern w:val="44"/>
      <w:sz w:val="44"/>
      <w:szCs w:val="4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906</Words>
  <Characters>5169</Characters>
  <Application>Microsoft Office Word</Application>
  <DocSecurity>0</DocSecurity>
  <Lines>43</Lines>
  <Paragraphs>12</Paragraphs>
  <ScaleCrop>false</ScaleCrop>
  <Company/>
  <LinksUpToDate>false</LinksUpToDate>
  <CharactersWithSpaces>6063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2</cp:revision>
  <dcterms:created xsi:type="dcterms:W3CDTF">2008-09-11T17:20:00Z</dcterms:created>
  <dcterms:modified xsi:type="dcterms:W3CDTF">2024-06-30T03:18:00Z</dcterms:modified>
</cp:coreProperties>
</file>